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rPr>
        <w:t>3</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w:t>
      </w:r>
      <w:r>
        <w:rPr>
          <w:rFonts w:hint="eastAsia" w:ascii="Arial" w:hAnsi="Arial" w:cs="Arial"/>
          <w:b/>
          <w:bCs/>
          <w:snapToGrid w:val="0"/>
          <w:kern w:val="0"/>
          <w:sz w:val="24"/>
        </w:rPr>
        <w:t>R2-2101197</w:t>
      </w:r>
      <w:bookmarkStart w:id="3" w:name="_GoBack"/>
      <w:bookmarkEnd w:id="3"/>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Electronic, 25</w:t>
      </w:r>
      <w:r>
        <w:rPr>
          <w:rFonts w:hint="eastAsia" w:ascii="Arial" w:hAnsi="Arial" w:cs="Arial"/>
          <w:b/>
          <w:bCs/>
          <w:kern w:val="0"/>
          <w:sz w:val="24"/>
          <w:vertAlign w:val="superscript"/>
        </w:rPr>
        <w:t xml:space="preserve">th </w:t>
      </w:r>
      <w:r>
        <w:rPr>
          <w:rFonts w:hint="eastAsia" w:ascii="Arial" w:hAnsi="Arial" w:cs="Arial"/>
          <w:b/>
          <w:bCs/>
          <w:kern w:val="0"/>
          <w:sz w:val="24"/>
        </w:rPr>
        <w:t>January - 5</w:t>
      </w:r>
      <w:r>
        <w:rPr>
          <w:rFonts w:hint="eastAsia" w:ascii="Arial" w:hAnsi="Arial" w:cs="Arial"/>
          <w:b/>
          <w:bCs/>
          <w:kern w:val="0"/>
          <w:sz w:val="24"/>
          <w:vertAlign w:val="superscript"/>
        </w:rPr>
        <w:t>th</w:t>
      </w:r>
      <w:r>
        <w:rPr>
          <w:rFonts w:hint="eastAsia" w:ascii="Arial" w:hAnsi="Arial" w:cs="Arial"/>
          <w:b/>
          <w:bCs/>
          <w:kern w:val="0"/>
          <w:sz w:val="24"/>
        </w:rPr>
        <w:t xml:space="preserve"> February</w:t>
      </w:r>
      <w:r>
        <w:rPr>
          <w:rFonts w:ascii="Arial" w:hAnsi="Arial" w:cs="Arial"/>
          <w:b/>
          <w:bCs/>
          <w:kern w:val="0"/>
          <w:sz w:val="24"/>
        </w:rPr>
        <w:t xml:space="preserve"> </w:t>
      </w:r>
      <w:r>
        <w:rPr>
          <w:rFonts w:hint="eastAsia" w:ascii="Arial" w:hAnsi="Arial" w:cs="Arial"/>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time(r) and location CHO triggering event configuration in NTN</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8.10.3.3</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left"/>
        <w:rPr>
          <w:sz w:val="20"/>
          <w:szCs w:val="20"/>
        </w:rPr>
      </w:pPr>
      <w:r>
        <w:rPr>
          <w:rFonts w:hint="eastAsia"/>
          <w:sz w:val="20"/>
          <w:szCs w:val="20"/>
        </w:rPr>
        <w:t>The following agreements have been made at RAN2#112e for CHO triggering event configuration in NTN[1]:</w:t>
      </w:r>
    </w:p>
    <w:p>
      <w:pPr>
        <w:numPr>
          <w:ilvl w:val="0"/>
          <w:numId w:val="4"/>
        </w:numPr>
        <w:spacing w:line="240" w:lineRule="auto"/>
        <w:jc w:val="left"/>
        <w:rPr>
          <w:i/>
          <w:iCs/>
          <w:sz w:val="20"/>
          <w:szCs w:val="20"/>
        </w:rPr>
      </w:pPr>
      <w:r>
        <w:rPr>
          <w:rFonts w:hint="eastAsia"/>
          <w:i/>
          <w:iCs/>
          <w:sz w:val="20"/>
          <w:szCs w:val="20"/>
        </w:rPr>
        <w:t>Time or timer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p>
      <w:pPr>
        <w:numPr>
          <w:ilvl w:val="0"/>
          <w:numId w:val="4"/>
        </w:numPr>
        <w:spacing w:line="240" w:lineRule="auto"/>
        <w:jc w:val="left"/>
        <w:rPr>
          <w:i/>
          <w:iCs/>
          <w:sz w:val="20"/>
          <w:szCs w:val="20"/>
        </w:rPr>
      </w:pPr>
      <w:r>
        <w:rPr>
          <w:rFonts w:hint="eastAsia"/>
          <w:i/>
          <w:iCs/>
          <w:sz w:val="20"/>
          <w:szCs w:val="20"/>
        </w:rPr>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pPr>
        <w:spacing w:line="240" w:lineRule="auto"/>
        <w:jc w:val="left"/>
        <w:rPr>
          <w:sz w:val="20"/>
          <w:szCs w:val="20"/>
        </w:rPr>
      </w:pPr>
      <w:r>
        <w:rPr>
          <w:rFonts w:hint="eastAsia"/>
          <w:sz w:val="20"/>
          <w:szCs w:val="20"/>
        </w:rPr>
        <w:t>In this paper, we share some further consideration on the configuration of the time(r) and location based CHO triggering event.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p>
      <w:pPr>
        <w:pStyle w:val="3"/>
        <w:numPr>
          <w:ilvl w:val="1"/>
          <w:numId w:val="3"/>
        </w:numPr>
        <w:rPr>
          <w:rFonts w:eastAsia="宋体"/>
          <w:b w:val="0"/>
          <w:bCs w:val="0"/>
          <w:sz w:val="28"/>
          <w:szCs w:val="28"/>
          <w:lang w:val="en-US"/>
        </w:rPr>
      </w:pPr>
      <w:r>
        <w:rPr>
          <w:rFonts w:hint="eastAsia" w:eastAsia="宋体"/>
          <w:b w:val="0"/>
          <w:bCs w:val="0"/>
          <w:sz w:val="28"/>
          <w:szCs w:val="28"/>
          <w:lang w:val="en-US"/>
        </w:rPr>
        <w:t>Understanding on the CHO configuration in NR</w:t>
      </w:r>
    </w:p>
    <w:p>
      <w:pPr>
        <w:spacing w:line="240" w:lineRule="auto"/>
        <w:jc w:val="center"/>
        <w:rPr>
          <w:sz w:val="20"/>
          <w:szCs w:val="20"/>
        </w:rPr>
      </w:pPr>
      <w:r>
        <w:rPr>
          <w:rFonts w:hint="eastAsia"/>
          <w:sz w:val="20"/>
          <w:szCs w:val="20"/>
        </w:rPr>
        <w:object>
          <v:shape id="_x0000_i1025" o:spt="75" type="#_x0000_t75" style="height:114pt;width:489pt;" o:ole="t" filled="f" o:preferrelative="t" stroked="f" coordsize="21600,21600">
            <v:path/>
            <v:fill on="f" focussize="0,0"/>
            <v:stroke on="f" joinstyle="miter"/>
            <v:imagedata r:id="rId8" o:title=""/>
            <o:lock v:ext="edit" aspectratio="f"/>
            <w10:wrap type="none"/>
            <w10:anchorlock/>
          </v:shape>
          <o:OLEObject Type="Embed" ProgID="Visio.Drawing.15" ShapeID="_x0000_i1025" DrawAspect="Content" ObjectID="_1468075725" r:id="rId7">
            <o:LockedField>false</o:LockedField>
          </o:OLEObject>
        </w:object>
      </w:r>
    </w:p>
    <w:p>
      <w:pPr>
        <w:spacing w:line="240" w:lineRule="auto"/>
        <w:jc w:val="center"/>
        <w:rPr>
          <w:sz w:val="20"/>
          <w:szCs w:val="20"/>
        </w:rPr>
      </w:pPr>
      <w:r>
        <w:rPr>
          <w:rFonts w:hint="eastAsia"/>
          <w:sz w:val="20"/>
          <w:szCs w:val="20"/>
        </w:rPr>
        <w:t>Figure 1. The structure of the CHO configuration in NR</w:t>
      </w:r>
    </w:p>
    <w:p>
      <w:pPr>
        <w:spacing w:line="240" w:lineRule="auto"/>
        <w:jc w:val="left"/>
        <w:rPr>
          <w:sz w:val="20"/>
          <w:szCs w:val="20"/>
        </w:rPr>
      </w:pPr>
      <w:r>
        <w:rPr>
          <w:rFonts w:hint="eastAsia"/>
          <w:sz w:val="20"/>
          <w:szCs w:val="20"/>
        </w:rPr>
        <w:t xml:space="preserve">In NR Rel-16, as shown in figure 1, at most 8 conditional candidate SpCells can be configured via </w:t>
      </w:r>
      <w:r>
        <w:rPr>
          <w:rFonts w:hint="eastAsia"/>
          <w:i/>
          <w:iCs/>
          <w:sz w:val="20"/>
          <w:szCs w:val="20"/>
        </w:rPr>
        <w:t xml:space="preserve">RRCReconfiguration -&gt; conditionalReconfiguration-r16 </w:t>
      </w:r>
      <w:r>
        <w:rPr>
          <w:rFonts w:hint="eastAsia"/>
          <w:sz w:val="20"/>
          <w:szCs w:val="20"/>
        </w:rPr>
        <w:t xml:space="preserve">and </w:t>
      </w:r>
      <w:r>
        <w:rPr>
          <w:rFonts w:hint="eastAsia"/>
          <w:i/>
          <w:iCs/>
          <w:sz w:val="20"/>
          <w:szCs w:val="20"/>
        </w:rPr>
        <w:t>a condReconfigId</w:t>
      </w:r>
      <w:r>
        <w:rPr>
          <w:rFonts w:hint="eastAsia"/>
          <w:sz w:val="20"/>
          <w:szCs w:val="20"/>
        </w:rPr>
        <w:t xml:space="preserve"> is used to idenfity each candidate SpCell. Every time a a </w:t>
      </w:r>
      <w:r>
        <w:rPr>
          <w:rFonts w:hint="eastAsia"/>
          <w:i/>
          <w:iCs/>
          <w:sz w:val="20"/>
          <w:szCs w:val="20"/>
        </w:rPr>
        <w:t>condReconfigId</w:t>
      </w:r>
      <w:r>
        <w:rPr>
          <w:rFonts w:hint="eastAsia"/>
          <w:sz w:val="20"/>
          <w:szCs w:val="20"/>
        </w:rPr>
        <w:t xml:space="preserve"> is added, a </w:t>
      </w:r>
      <w:r>
        <w:rPr>
          <w:rFonts w:hint="eastAsia"/>
          <w:i/>
          <w:iCs/>
          <w:sz w:val="20"/>
          <w:szCs w:val="20"/>
        </w:rPr>
        <w:t>conExecutionCond</w:t>
      </w:r>
      <w:r>
        <w:rPr>
          <w:rFonts w:hint="eastAsia"/>
          <w:sz w:val="20"/>
          <w:szCs w:val="20"/>
        </w:rPr>
        <w:t xml:space="preserve"> along with a </w:t>
      </w:r>
      <w:r>
        <w:rPr>
          <w:rFonts w:hint="eastAsia"/>
          <w:i/>
          <w:iCs/>
          <w:sz w:val="20"/>
          <w:szCs w:val="20"/>
        </w:rPr>
        <w:t>conRRCReconfig</w:t>
      </w:r>
      <w:r>
        <w:rPr>
          <w:rFonts w:hint="eastAsia"/>
          <w:sz w:val="20"/>
          <w:szCs w:val="20"/>
        </w:rPr>
        <w:t xml:space="preserve"> is provided. The </w:t>
      </w:r>
      <w:r>
        <w:rPr>
          <w:rFonts w:hint="eastAsia"/>
          <w:i/>
          <w:iCs/>
          <w:sz w:val="20"/>
          <w:szCs w:val="20"/>
        </w:rPr>
        <w:t>conExecutionCond</w:t>
      </w:r>
      <w:r>
        <w:rPr>
          <w:rFonts w:hint="eastAsia"/>
          <w:sz w:val="20"/>
          <w:szCs w:val="20"/>
        </w:rPr>
        <w:t xml:space="preserve"> contains one or two measurement identities while for each measurement identity, a measurement object and a report configuration is provided. The CHO triggering config will be configured to UE as part of the report config [2]:</w:t>
      </w:r>
    </w:p>
    <w:p>
      <w:pPr>
        <w:pStyle w:val="246"/>
        <w:shd w:val="clear" w:color="auto" w:fill="E6E6E6"/>
        <w:spacing w:after="0" w:line="240" w:lineRule="auto"/>
        <w:rPr>
          <w:rFonts w:eastAsia="Times New Roman"/>
          <w:lang w:val="en-GB" w:eastAsia="en-GB"/>
        </w:rPr>
      </w:pPr>
      <w:r>
        <w:rPr>
          <w:rFonts w:eastAsia="Times New Roman"/>
          <w:lang w:val="en-GB" w:eastAsia="en-GB"/>
        </w:rPr>
        <w:t>CondTriggerConfig-r16 ::=        SEQUENCE {</w:t>
      </w:r>
    </w:p>
    <w:p>
      <w:pPr>
        <w:pStyle w:val="246"/>
        <w:shd w:val="clear" w:color="auto" w:fill="E6E6E6"/>
        <w:spacing w:after="0" w:line="240" w:lineRule="auto"/>
        <w:rPr>
          <w:rFonts w:eastAsia="Times New Roman"/>
          <w:lang w:val="en-GB" w:eastAsia="en-GB"/>
        </w:rPr>
      </w:pPr>
      <w:r>
        <w:rPr>
          <w:rFonts w:eastAsia="Times New Roman"/>
          <w:lang w:val="en-GB" w:eastAsia="en-GB"/>
        </w:rPr>
        <w:t xml:space="preserve">    condEventId                      CHOICE {</w:t>
      </w:r>
    </w:p>
    <w:p>
      <w:pPr>
        <w:pStyle w:val="246"/>
        <w:shd w:val="clear" w:color="auto" w:fill="E6E6E6"/>
        <w:spacing w:after="0" w:line="240" w:lineRule="auto"/>
        <w:rPr>
          <w:rFonts w:eastAsia="Times New Roman"/>
          <w:lang w:val="en-GB" w:eastAsia="en-GB"/>
        </w:rPr>
      </w:pPr>
      <w:r>
        <w:rPr>
          <w:rFonts w:eastAsia="Times New Roman"/>
          <w:lang w:val="en-GB" w:eastAsia="en-GB"/>
        </w:rPr>
        <w:t xml:space="preserve">        condEventA3                      SEQUENCE {</w:t>
      </w:r>
    </w:p>
    <w:p>
      <w:pPr>
        <w:pStyle w:val="246"/>
        <w:shd w:val="clear" w:color="auto" w:fill="E6E6E6"/>
        <w:spacing w:after="0" w:line="240" w:lineRule="auto"/>
        <w:rPr>
          <w:rFonts w:eastAsia="Times New Roman"/>
          <w:lang w:val="en-GB" w:eastAsia="en-GB"/>
        </w:rPr>
      </w:pPr>
      <w:r>
        <w:rPr>
          <w:rFonts w:eastAsia="Times New Roman"/>
          <w:lang w:val="en-GB" w:eastAsia="en-GB"/>
        </w:rPr>
        <w:t xml:space="preserve">            a3-Offset                        MeasTriggerQuantityOffset,</w:t>
      </w:r>
    </w:p>
    <w:p>
      <w:pPr>
        <w:pStyle w:val="246"/>
        <w:shd w:val="clear" w:color="auto" w:fill="E6E6E6"/>
        <w:spacing w:after="0" w:line="240" w:lineRule="auto"/>
        <w:rPr>
          <w:rFonts w:eastAsia="Times New Roman"/>
          <w:lang w:val="en-GB" w:eastAsia="en-GB"/>
        </w:rPr>
      </w:pPr>
      <w:r>
        <w:rPr>
          <w:rFonts w:eastAsia="Times New Roman"/>
          <w:lang w:val="en-GB" w:eastAsia="en-GB"/>
        </w:rPr>
        <w:t xml:space="preserve">            hysteresis                       Hysteresis,</w:t>
      </w:r>
    </w:p>
    <w:p>
      <w:pPr>
        <w:pStyle w:val="246"/>
        <w:shd w:val="clear" w:color="auto" w:fill="E6E6E6"/>
        <w:spacing w:after="0" w:line="240" w:lineRule="auto"/>
        <w:rPr>
          <w:rFonts w:eastAsia="Times New Roman"/>
          <w:lang w:val="en-GB" w:eastAsia="en-GB"/>
        </w:rPr>
      </w:pPr>
      <w:r>
        <w:rPr>
          <w:rFonts w:eastAsia="Times New Roman"/>
          <w:lang w:val="en-GB" w:eastAsia="en-GB"/>
        </w:rPr>
        <w:t xml:space="preserve">            timeToTrigger                    TimeToTrigger</w:t>
      </w:r>
    </w:p>
    <w:p>
      <w:pPr>
        <w:pStyle w:val="246"/>
        <w:shd w:val="clear" w:color="auto" w:fill="E6E6E6"/>
        <w:spacing w:after="0" w:line="240" w:lineRule="auto"/>
        <w:rPr>
          <w:rFonts w:eastAsia="Times New Roman"/>
          <w:lang w:val="en-GB" w:eastAsia="en-GB"/>
        </w:rPr>
      </w:pPr>
      <w:r>
        <w:rPr>
          <w:rFonts w:eastAsia="Times New Roman"/>
          <w:lang w:val="en-GB" w:eastAsia="en-GB"/>
        </w:rPr>
        <w:t xml:space="preserve">        },</w:t>
      </w:r>
    </w:p>
    <w:p>
      <w:pPr>
        <w:pStyle w:val="246"/>
        <w:shd w:val="clear" w:color="auto" w:fill="E6E6E6"/>
        <w:spacing w:after="0" w:line="240" w:lineRule="auto"/>
        <w:rPr>
          <w:rFonts w:eastAsia="Times New Roman"/>
          <w:lang w:val="en-GB" w:eastAsia="en-GB"/>
        </w:rPr>
      </w:pPr>
      <w:r>
        <w:rPr>
          <w:rFonts w:eastAsia="Times New Roman"/>
          <w:lang w:val="en-GB" w:eastAsia="en-GB"/>
        </w:rPr>
        <w:t xml:space="preserve">        condEventA5                      SEQUENCE {</w:t>
      </w:r>
    </w:p>
    <w:p>
      <w:pPr>
        <w:pStyle w:val="246"/>
        <w:shd w:val="clear" w:color="auto" w:fill="E6E6E6"/>
        <w:spacing w:after="0" w:line="240" w:lineRule="auto"/>
        <w:rPr>
          <w:rFonts w:eastAsia="Times New Roman"/>
          <w:lang w:val="en-GB" w:eastAsia="en-GB"/>
        </w:rPr>
      </w:pPr>
      <w:r>
        <w:rPr>
          <w:rFonts w:eastAsia="Times New Roman"/>
          <w:lang w:val="en-GB" w:eastAsia="en-GB"/>
        </w:rPr>
        <w:t xml:space="preserve">            a5-Threshold1                    MeasTriggerQuantity,</w:t>
      </w:r>
    </w:p>
    <w:p>
      <w:pPr>
        <w:pStyle w:val="246"/>
        <w:shd w:val="clear" w:color="auto" w:fill="E6E6E6"/>
        <w:spacing w:after="0" w:line="240" w:lineRule="auto"/>
        <w:rPr>
          <w:rFonts w:eastAsia="Times New Roman"/>
          <w:lang w:val="en-GB" w:eastAsia="en-GB"/>
        </w:rPr>
      </w:pPr>
      <w:r>
        <w:rPr>
          <w:rFonts w:eastAsia="Times New Roman"/>
          <w:lang w:val="en-GB" w:eastAsia="en-GB"/>
        </w:rPr>
        <w:t xml:space="preserve">            a5-Threshold2                    MeasTriggerQuantity,</w:t>
      </w:r>
    </w:p>
    <w:p>
      <w:pPr>
        <w:pStyle w:val="246"/>
        <w:shd w:val="clear" w:color="auto" w:fill="E6E6E6"/>
        <w:spacing w:after="0" w:line="240" w:lineRule="auto"/>
        <w:rPr>
          <w:rFonts w:eastAsia="Times New Roman"/>
          <w:lang w:val="en-GB" w:eastAsia="en-GB"/>
        </w:rPr>
      </w:pPr>
      <w:r>
        <w:rPr>
          <w:rFonts w:eastAsia="Times New Roman"/>
          <w:lang w:val="en-GB" w:eastAsia="en-GB"/>
        </w:rPr>
        <w:t xml:space="preserve">            hysteresis                       Hysteresis,</w:t>
      </w:r>
    </w:p>
    <w:p>
      <w:pPr>
        <w:pStyle w:val="246"/>
        <w:shd w:val="clear" w:color="auto" w:fill="E6E6E6"/>
        <w:spacing w:after="0" w:line="240" w:lineRule="auto"/>
        <w:rPr>
          <w:rFonts w:eastAsia="Times New Roman"/>
          <w:lang w:val="en-GB" w:eastAsia="en-GB"/>
        </w:rPr>
      </w:pPr>
      <w:r>
        <w:rPr>
          <w:rFonts w:eastAsia="Times New Roman"/>
          <w:lang w:val="en-GB" w:eastAsia="en-GB"/>
        </w:rPr>
        <w:t xml:space="preserve">            timeToTrigger                    TimeToTrigger</w:t>
      </w:r>
    </w:p>
    <w:p>
      <w:pPr>
        <w:pStyle w:val="246"/>
        <w:shd w:val="clear" w:color="auto" w:fill="E6E6E6"/>
        <w:spacing w:after="0" w:line="240" w:lineRule="auto"/>
        <w:rPr>
          <w:rFonts w:eastAsia="Times New Roman"/>
          <w:lang w:val="en-GB" w:eastAsia="en-GB"/>
        </w:rPr>
      </w:pPr>
      <w:r>
        <w:rPr>
          <w:rFonts w:eastAsia="Times New Roman"/>
          <w:lang w:val="en-GB" w:eastAsia="en-GB"/>
        </w:rPr>
        <w:t xml:space="preserve">        },</w:t>
      </w:r>
    </w:p>
    <w:p>
      <w:pPr>
        <w:pStyle w:val="246"/>
        <w:shd w:val="clear" w:color="auto" w:fill="E6E6E6"/>
        <w:spacing w:after="0" w:line="240" w:lineRule="auto"/>
        <w:rPr>
          <w:rFonts w:eastAsia="Times New Roman"/>
          <w:lang w:val="en-GB" w:eastAsia="en-GB"/>
        </w:rPr>
      </w:pPr>
      <w:r>
        <w:rPr>
          <w:rFonts w:eastAsia="Times New Roman"/>
          <w:lang w:val="en-GB" w:eastAsia="en-GB"/>
        </w:rPr>
        <w:t xml:space="preserve">        ...</w:t>
      </w:r>
    </w:p>
    <w:p>
      <w:pPr>
        <w:pStyle w:val="246"/>
        <w:shd w:val="clear" w:color="auto" w:fill="E6E6E6"/>
        <w:spacing w:after="0" w:line="240" w:lineRule="auto"/>
        <w:rPr>
          <w:rFonts w:eastAsia="Times New Roman"/>
          <w:lang w:val="en-GB" w:eastAsia="en-GB"/>
        </w:rPr>
      </w:pPr>
      <w:r>
        <w:rPr>
          <w:rFonts w:eastAsia="Times New Roman"/>
          <w:lang w:val="en-GB" w:eastAsia="en-GB"/>
        </w:rPr>
        <w:t xml:space="preserve">    },</w:t>
      </w:r>
    </w:p>
    <w:p>
      <w:pPr>
        <w:pStyle w:val="246"/>
        <w:shd w:val="clear" w:color="auto" w:fill="E6E6E6"/>
        <w:spacing w:after="0" w:line="240" w:lineRule="auto"/>
        <w:rPr>
          <w:rFonts w:eastAsia="Times New Roman"/>
          <w:lang w:val="en-GB" w:eastAsia="en-GB"/>
        </w:rPr>
      </w:pPr>
      <w:r>
        <w:rPr>
          <w:rFonts w:eastAsia="Times New Roman"/>
          <w:lang w:val="en-GB" w:eastAsia="en-GB"/>
        </w:rPr>
        <w:t xml:space="preserve">    rsType-r16                       NR-RS-Type,</w:t>
      </w:r>
    </w:p>
    <w:p>
      <w:pPr>
        <w:pStyle w:val="246"/>
        <w:shd w:val="clear" w:color="auto" w:fill="E6E6E6"/>
        <w:spacing w:after="0" w:line="240" w:lineRule="auto"/>
        <w:rPr>
          <w:rFonts w:eastAsia="Times New Roman"/>
          <w:lang w:val="en-GB" w:eastAsia="en-GB"/>
        </w:rPr>
      </w:pPr>
      <w:r>
        <w:rPr>
          <w:rFonts w:eastAsia="Times New Roman"/>
          <w:lang w:val="en-GB" w:eastAsia="en-GB"/>
        </w:rPr>
        <w:t xml:space="preserve">    ...</w:t>
      </w:r>
    </w:p>
    <w:p>
      <w:pPr>
        <w:pStyle w:val="246"/>
        <w:shd w:val="clear" w:color="auto" w:fill="E6E6E6"/>
        <w:spacing w:after="0" w:line="240" w:lineRule="auto"/>
        <w:rPr>
          <w:sz w:val="20"/>
          <w:lang w:eastAsia="zh-CN"/>
        </w:rPr>
      </w:pPr>
      <w:r>
        <w:rPr>
          <w:rFonts w:eastAsia="Times New Roman"/>
          <w:lang w:val="en-GB" w:eastAsia="en-GB"/>
        </w:rPr>
        <w:t>}</w:t>
      </w:r>
    </w:p>
    <w:p>
      <w:pPr>
        <w:spacing w:line="240" w:lineRule="auto"/>
        <w:jc w:val="left"/>
        <w:rPr>
          <w:sz w:val="20"/>
          <w:szCs w:val="20"/>
        </w:rPr>
      </w:pPr>
      <w:r>
        <w:rPr>
          <w:rFonts w:hint="eastAsia"/>
          <w:sz w:val="20"/>
          <w:szCs w:val="20"/>
        </w:rPr>
        <w:t>Thus, for each candidate SpCell, the following execution conditions may be configured:</w:t>
      </w:r>
    </w:p>
    <w:tbl>
      <w:tblPr>
        <w:tblStyle w:val="5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283"/>
        <w:gridCol w:w="1999"/>
        <w:gridCol w:w="2000"/>
        <w:gridCol w:w="1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45" w:type="dxa"/>
            <w:gridSpan w:val="5"/>
            <w:tcBorders>
              <w:top w:val="single" w:color="4F81BD" w:sz="8" w:space="0"/>
              <w:left w:val="single" w:color="4F81BD" w:sz="8" w:space="0"/>
              <w:bottom w:val="single" w:color="4F81BD" w:sz="8" w:space="0"/>
              <w:right w:val="dotted" w:color="auto" w:sz="4" w:space="0"/>
            </w:tcBorders>
            <w:shd w:val="clear" w:color="auto" w:fill="4F81BD"/>
            <w:vAlign w:val="center"/>
          </w:tcPr>
          <w:p>
            <w:pPr>
              <w:spacing w:line="240" w:lineRule="auto"/>
              <w:jc w:val="center"/>
              <w:rPr>
                <w:color w:val="FFFFFF"/>
                <w:sz w:val="20"/>
                <w:szCs w:val="20"/>
                <w:lang w:eastAsia="en-US"/>
              </w:rPr>
            </w:pPr>
            <w:r>
              <w:rPr>
                <w:rFonts w:hint="eastAsia"/>
                <w:color w:val="FFFFFF"/>
                <w:sz w:val="20"/>
                <w:szCs w:val="20"/>
                <w:lang w:eastAsia="en-US"/>
              </w:rPr>
              <w:t>Possible execution conditions for a candidate SpCell in CHO in NR-R16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7" w:type="dxa"/>
            <w:tcBorders>
              <w:top w:val="single" w:color="4F81BD" w:sz="8" w:space="0"/>
              <w:left w:val="single" w:color="4F81BD" w:sz="8" w:space="0"/>
              <w:bottom w:val="single" w:color="4F81BD" w:sz="8" w:space="0"/>
              <w:right w:val="dotted" w:color="auto" w:sz="4" w:space="0"/>
            </w:tcBorders>
            <w:shd w:val="clear" w:color="auto" w:fill="FFFFFF"/>
            <w:vAlign w:val="center"/>
          </w:tcPr>
          <w:p>
            <w:pPr>
              <w:spacing w:line="240" w:lineRule="auto"/>
              <w:jc w:val="center"/>
              <w:rPr>
                <w:color w:val="000000"/>
                <w:sz w:val="20"/>
                <w:szCs w:val="20"/>
                <w:lang w:eastAsia="en-US"/>
              </w:rPr>
            </w:pPr>
            <w:r>
              <w:rPr>
                <w:rFonts w:hint="eastAsia"/>
                <w:color w:val="000000"/>
                <w:sz w:val="20"/>
                <w:szCs w:val="20"/>
                <w:lang w:eastAsia="en-US"/>
              </w:rPr>
              <w:t>A3</w:t>
            </w:r>
          </w:p>
        </w:tc>
        <w:tc>
          <w:tcPr>
            <w:tcW w:w="1283" w:type="dxa"/>
            <w:tcBorders>
              <w:top w:val="single" w:color="4F81BD" w:sz="8" w:space="0"/>
              <w:left w:val="dotted" w:color="auto" w:sz="4" w:space="0"/>
              <w:bottom w:val="single" w:color="4F81BD" w:sz="8" w:space="0"/>
              <w:right w:val="dotted" w:color="auto" w:sz="4" w:space="0"/>
            </w:tcBorders>
            <w:shd w:val="clear" w:color="auto" w:fill="FFFFFF"/>
            <w:vAlign w:val="center"/>
          </w:tcPr>
          <w:p>
            <w:pPr>
              <w:spacing w:line="240" w:lineRule="auto"/>
              <w:jc w:val="center"/>
              <w:rPr>
                <w:color w:val="000000"/>
                <w:sz w:val="20"/>
                <w:szCs w:val="20"/>
                <w:lang w:eastAsia="en-US"/>
              </w:rPr>
            </w:pPr>
            <w:r>
              <w:rPr>
                <w:rFonts w:hint="eastAsia"/>
                <w:color w:val="000000"/>
                <w:sz w:val="20"/>
                <w:szCs w:val="20"/>
                <w:lang w:eastAsia="en-US"/>
              </w:rPr>
              <w:t>A5</w:t>
            </w:r>
          </w:p>
        </w:tc>
        <w:tc>
          <w:tcPr>
            <w:tcW w:w="1999" w:type="dxa"/>
            <w:tcBorders>
              <w:top w:val="single" w:color="4F81BD" w:sz="8" w:space="0"/>
              <w:left w:val="dotted" w:color="auto" w:sz="4" w:space="0"/>
              <w:bottom w:val="single" w:color="4F81BD" w:sz="8" w:space="0"/>
              <w:right w:val="dotted" w:color="auto" w:sz="4" w:space="0"/>
            </w:tcBorders>
            <w:shd w:val="clear" w:color="auto" w:fill="FFFFFF"/>
            <w:vAlign w:val="center"/>
          </w:tcPr>
          <w:p>
            <w:pPr>
              <w:spacing w:line="240" w:lineRule="auto"/>
              <w:jc w:val="center"/>
              <w:rPr>
                <w:color w:val="000000"/>
                <w:sz w:val="20"/>
                <w:szCs w:val="20"/>
                <w:lang w:eastAsia="en-US"/>
              </w:rPr>
            </w:pPr>
            <w:r>
              <w:rPr>
                <w:rFonts w:hint="eastAsia"/>
                <w:color w:val="000000"/>
                <w:sz w:val="20"/>
                <w:szCs w:val="20"/>
                <w:lang w:eastAsia="en-US"/>
              </w:rPr>
              <w:t>A3+A3</w:t>
            </w:r>
          </w:p>
        </w:tc>
        <w:tc>
          <w:tcPr>
            <w:tcW w:w="2000" w:type="dxa"/>
            <w:tcBorders>
              <w:top w:val="single" w:color="4F81BD" w:sz="8" w:space="0"/>
              <w:left w:val="dotted" w:color="auto" w:sz="4" w:space="0"/>
              <w:bottom w:val="single" w:color="4F81BD" w:sz="8" w:space="0"/>
              <w:right w:val="dotted" w:color="auto" w:sz="4" w:space="0"/>
            </w:tcBorders>
            <w:shd w:val="clear" w:color="auto" w:fill="FFFFFF"/>
            <w:vAlign w:val="center"/>
          </w:tcPr>
          <w:p>
            <w:pPr>
              <w:spacing w:line="240" w:lineRule="auto"/>
              <w:jc w:val="center"/>
              <w:rPr>
                <w:color w:val="000000"/>
                <w:sz w:val="20"/>
                <w:szCs w:val="20"/>
                <w:lang w:eastAsia="en-US"/>
              </w:rPr>
            </w:pPr>
            <w:r>
              <w:rPr>
                <w:rFonts w:hint="eastAsia"/>
                <w:color w:val="000000"/>
                <w:sz w:val="20"/>
                <w:szCs w:val="20"/>
                <w:lang w:eastAsia="en-US"/>
              </w:rPr>
              <w:t>A3+A5</w:t>
            </w:r>
          </w:p>
        </w:tc>
        <w:tc>
          <w:tcPr>
            <w:tcW w:w="1226" w:type="dxa"/>
            <w:tcBorders>
              <w:top w:val="single" w:color="4F81BD" w:sz="8" w:space="0"/>
              <w:left w:val="dotted" w:color="auto" w:sz="4" w:space="0"/>
              <w:bottom w:val="single" w:color="4F81BD" w:sz="8" w:space="0"/>
              <w:right w:val="single" w:color="4F81BD" w:sz="8" w:space="0"/>
            </w:tcBorders>
            <w:shd w:val="clear" w:color="auto" w:fill="FFFFFF"/>
            <w:vAlign w:val="center"/>
          </w:tcPr>
          <w:p>
            <w:pPr>
              <w:spacing w:line="240" w:lineRule="auto"/>
              <w:jc w:val="center"/>
              <w:rPr>
                <w:color w:val="000000"/>
                <w:sz w:val="20"/>
                <w:szCs w:val="20"/>
                <w:lang w:eastAsia="en-US"/>
              </w:rPr>
            </w:pPr>
            <w:r>
              <w:rPr>
                <w:rFonts w:hint="eastAsia"/>
                <w:color w:val="000000"/>
                <w:sz w:val="20"/>
                <w:szCs w:val="20"/>
                <w:lang w:eastAsia="en-US"/>
              </w:rPr>
              <w:t>A5+A5</w:t>
            </w:r>
          </w:p>
        </w:tc>
      </w:tr>
    </w:tbl>
    <w:p>
      <w:pPr>
        <w:spacing w:line="240" w:lineRule="auto"/>
        <w:jc w:val="left"/>
        <w:rPr>
          <w:sz w:val="20"/>
          <w:szCs w:val="20"/>
        </w:rPr>
      </w:pPr>
    </w:p>
    <w:p>
      <w:pPr>
        <w:pStyle w:val="3"/>
        <w:numPr>
          <w:ilvl w:val="1"/>
          <w:numId w:val="3"/>
        </w:numPr>
        <w:rPr>
          <w:rFonts w:eastAsia="宋体"/>
          <w:b w:val="0"/>
          <w:bCs w:val="0"/>
          <w:sz w:val="28"/>
          <w:szCs w:val="28"/>
          <w:lang w:val="en-US"/>
        </w:rPr>
      </w:pPr>
      <w:r>
        <w:rPr>
          <w:rFonts w:hint="eastAsia" w:eastAsia="宋体"/>
          <w:b w:val="0"/>
          <w:bCs w:val="0"/>
          <w:sz w:val="28"/>
          <w:szCs w:val="28"/>
          <w:lang w:val="en-US"/>
        </w:rPr>
        <w:t>Configuration of the time(r) based CHO triggering event</w:t>
      </w:r>
    </w:p>
    <w:p>
      <w:pPr>
        <w:spacing w:line="240" w:lineRule="auto"/>
        <w:jc w:val="left"/>
        <w:rPr>
          <w:sz w:val="20"/>
          <w:szCs w:val="20"/>
        </w:rPr>
      </w:pPr>
      <w:r>
        <w:rPr>
          <w:rFonts w:hint="eastAsia"/>
          <w:sz w:val="20"/>
          <w:szCs w:val="20"/>
        </w:rPr>
        <w:t>At RAN2#112e, there has been discussion on how to configure the time(r) based CHO triggerring event without reaching consensus. Companies would like to configure it either as a timer or a time range.</w:t>
      </w:r>
    </w:p>
    <w:p>
      <w:pPr>
        <w:spacing w:line="240" w:lineRule="auto"/>
        <w:jc w:val="left"/>
        <w:rPr>
          <w:sz w:val="20"/>
          <w:szCs w:val="20"/>
        </w:rPr>
      </w:pPr>
      <w:r>
        <w:rPr>
          <w:rFonts w:hint="eastAsia"/>
          <w:sz w:val="20"/>
          <w:szCs w:val="20"/>
        </w:rPr>
        <w:t xml:space="preserve">There has been proposal at RAN2#112e to configure a timer and CHO will be executed by UE when the timer expires. As agreed at RAN2#112e that the time(r) based CHO triggering event shall be configured in combination with the existing CHO triggering events, our understanding of the UE behavior upon reception of a timer together with the existing CHO triggering events is shared below. </w:t>
      </w:r>
    </w:p>
    <w:p>
      <w:pPr>
        <w:spacing w:line="240" w:lineRule="auto"/>
        <w:jc w:val="left"/>
        <w:rPr>
          <w:sz w:val="20"/>
          <w:szCs w:val="20"/>
        </w:rPr>
      </w:pPr>
      <w:r>
        <w:rPr>
          <w:rFonts w:hint="eastAsia"/>
          <w:sz w:val="20"/>
          <w:szCs w:val="20"/>
        </w:rPr>
        <w:t>For example, a timer T</w:t>
      </w:r>
      <w:r>
        <w:rPr>
          <w:rFonts w:hint="eastAsia"/>
          <w:sz w:val="20"/>
          <w:szCs w:val="20"/>
          <w:vertAlign w:val="subscript"/>
        </w:rPr>
        <w:t xml:space="preserve">condExecution </w:t>
      </w:r>
      <w:r>
        <w:rPr>
          <w:rFonts w:hint="eastAsia"/>
          <w:sz w:val="20"/>
          <w:szCs w:val="20"/>
        </w:rPr>
        <w:t>and a measurement id with condEventA3 is configured for a candidate SpCell and UE will start T</w:t>
      </w:r>
      <w:r>
        <w:rPr>
          <w:rFonts w:hint="eastAsia"/>
          <w:sz w:val="20"/>
          <w:szCs w:val="20"/>
          <w:vertAlign w:val="subscript"/>
        </w:rPr>
        <w:t>condExecution</w:t>
      </w:r>
      <w:r>
        <w:rPr>
          <w:rFonts w:hint="eastAsia"/>
          <w:sz w:val="20"/>
          <w:szCs w:val="20"/>
        </w:rPr>
        <w:t xml:space="preserve"> upon reception. As shown in the figure below, the timer based CHO will be executed in case 2.</w:t>
      </w:r>
    </w:p>
    <w:p>
      <w:pPr>
        <w:spacing w:line="240" w:lineRule="auto"/>
        <w:jc w:val="left"/>
        <w:rPr>
          <w:sz w:val="20"/>
          <w:szCs w:val="20"/>
        </w:rPr>
      </w:pPr>
    </w:p>
    <w:p>
      <w:pPr>
        <w:spacing w:line="240" w:lineRule="auto"/>
        <w:jc w:val="center"/>
        <w:rPr>
          <w:sz w:val="20"/>
          <w:szCs w:val="20"/>
        </w:rPr>
      </w:pPr>
      <w:r>
        <w:rPr>
          <w:rFonts w:hint="eastAsia"/>
          <w:sz w:val="20"/>
          <w:szCs w:val="20"/>
        </w:rPr>
        <w:object>
          <v:shape id="_x0000_i1026" o:spt="75" type="#_x0000_t75" style="height:340.5pt;width:357.75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p>
    <w:p>
      <w:pPr>
        <w:spacing w:line="240" w:lineRule="auto"/>
        <w:jc w:val="center"/>
        <w:rPr>
          <w:sz w:val="20"/>
          <w:szCs w:val="20"/>
        </w:rPr>
      </w:pPr>
      <w:r>
        <w:rPr>
          <w:rFonts w:hint="eastAsia"/>
          <w:sz w:val="20"/>
          <w:szCs w:val="20"/>
        </w:rPr>
        <w:t>Figure 2. Timer based CHO</w:t>
      </w:r>
    </w:p>
    <w:p>
      <w:pPr>
        <w:spacing w:line="240" w:lineRule="auto"/>
        <w:jc w:val="left"/>
        <w:rPr>
          <w:sz w:val="20"/>
          <w:szCs w:val="20"/>
        </w:rPr>
      </w:pPr>
      <w:r>
        <w:rPr>
          <w:rFonts w:hint="eastAsia"/>
          <w:sz w:val="20"/>
          <w:szCs w:val="20"/>
        </w:rPr>
        <w:t>Another option is to configure a time range, which refers to valid time range of the candidate SpCell. It can be configured as two thresholds of the time to indicate the start and end time e.g. configured as a UTC time, or a start time with a duration. The UE behavior upon reception of a time range together with the existing CHO triggering events is shared below with a similar example and time range based CHO will be executed in case 2 and case 3.</w:t>
      </w:r>
    </w:p>
    <w:p>
      <w:pPr>
        <w:spacing w:line="240" w:lineRule="auto"/>
        <w:jc w:val="center"/>
        <w:rPr>
          <w:sz w:val="20"/>
          <w:szCs w:val="20"/>
        </w:rPr>
      </w:pPr>
      <w:r>
        <w:rPr>
          <w:sz w:val="20"/>
          <w:szCs w:val="20"/>
        </w:rPr>
        <w:object>
          <v:shape id="_x0000_i1027" o:spt="75" type="#_x0000_t75" style="height:293.25pt;width:357.7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pPr>
        <w:spacing w:line="240" w:lineRule="auto"/>
        <w:jc w:val="center"/>
        <w:rPr>
          <w:sz w:val="20"/>
          <w:szCs w:val="20"/>
        </w:rPr>
      </w:pPr>
      <w:r>
        <w:rPr>
          <w:rFonts w:hint="eastAsia"/>
          <w:sz w:val="20"/>
          <w:szCs w:val="20"/>
        </w:rPr>
        <w:t>Figure 3. Time range based CHO</w:t>
      </w:r>
    </w:p>
    <w:p>
      <w:pPr>
        <w:spacing w:line="240" w:lineRule="auto"/>
        <w:jc w:val="left"/>
        <w:rPr>
          <w:sz w:val="20"/>
          <w:szCs w:val="20"/>
        </w:rPr>
      </w:pPr>
      <w:r>
        <w:rPr>
          <w:rFonts w:hint="eastAsia"/>
          <w:sz w:val="20"/>
          <w:szCs w:val="20"/>
        </w:rPr>
        <w:t>In our understanding, a relative time is configured via a timer and the transmission delay between UE and the network should be taken into consideration. In addition, one timer can only represent the time when the candidate cell starts to be available for UE and it will not be available forever after that considering the satellite movement. Another Timer is needed if network would like to provide the expire time of the candidate cell. Thus, option 2 is preferred from our perspective by configuring an absolute time range with the UTC time as reference, in which the start time and expire time of the candidate cell would both be aware to UE.</w:t>
      </w:r>
    </w:p>
    <w:p>
      <w:pPr>
        <w:spacing w:line="240" w:lineRule="auto"/>
        <w:jc w:val="left"/>
        <w:rPr>
          <w:b/>
          <w:bCs/>
          <w:sz w:val="20"/>
          <w:szCs w:val="20"/>
        </w:rPr>
      </w:pPr>
      <w:r>
        <w:rPr>
          <w:rFonts w:hint="eastAsia"/>
          <w:b/>
          <w:bCs/>
          <w:sz w:val="20"/>
          <w:szCs w:val="20"/>
        </w:rPr>
        <w:t xml:space="preserve">Proposal 1a: The time based CHO triggering event should be configured as an absolute time range, during which the candidate cell is available. </w:t>
      </w:r>
    </w:p>
    <w:p>
      <w:pPr>
        <w:spacing w:line="240" w:lineRule="auto"/>
        <w:jc w:val="left"/>
        <w:rPr>
          <w:b/>
          <w:bCs/>
          <w:sz w:val="20"/>
          <w:szCs w:val="20"/>
        </w:rPr>
      </w:pPr>
      <w:r>
        <w:rPr>
          <w:rFonts w:hint="eastAsia"/>
          <w:b/>
          <w:bCs/>
          <w:sz w:val="20"/>
          <w:szCs w:val="20"/>
        </w:rPr>
        <w:t>Proposal 1b: Down select from the following solutions to configure the time range as the CHO triggering event:</w:t>
      </w:r>
    </w:p>
    <w:p>
      <w:pPr>
        <w:numPr>
          <w:ilvl w:val="0"/>
          <w:numId w:val="5"/>
        </w:numPr>
        <w:spacing w:line="240" w:lineRule="auto"/>
        <w:jc w:val="left"/>
        <w:rPr>
          <w:b/>
          <w:bCs/>
          <w:sz w:val="20"/>
          <w:szCs w:val="20"/>
        </w:rPr>
      </w:pPr>
      <w:r>
        <w:rPr>
          <w:rFonts w:hint="eastAsia"/>
          <w:b/>
          <w:bCs/>
          <w:sz w:val="20"/>
          <w:szCs w:val="20"/>
        </w:rPr>
        <w:t>Solution 1: Two thresholds of the time to indicate the start and expire time of the candidate cell.</w:t>
      </w:r>
    </w:p>
    <w:p>
      <w:pPr>
        <w:numPr>
          <w:ilvl w:val="0"/>
          <w:numId w:val="5"/>
        </w:numPr>
        <w:spacing w:line="240" w:lineRule="auto"/>
        <w:jc w:val="left"/>
        <w:rPr>
          <w:sz w:val="20"/>
          <w:szCs w:val="20"/>
        </w:rPr>
      </w:pPr>
      <w:r>
        <w:rPr>
          <w:rFonts w:hint="eastAsia"/>
          <w:b/>
          <w:bCs/>
          <w:sz w:val="20"/>
          <w:szCs w:val="20"/>
        </w:rPr>
        <w:t>Solution 2: A start time with a duration to indicate the valid time range of the candidate cell.</w:t>
      </w:r>
    </w:p>
    <w:p>
      <w:pPr>
        <w:spacing w:line="240" w:lineRule="auto"/>
        <w:jc w:val="left"/>
        <w:rPr>
          <w:sz w:val="20"/>
          <w:szCs w:val="20"/>
        </w:rPr>
      </w:pPr>
      <w:r>
        <w:rPr>
          <w:rFonts w:hint="eastAsia"/>
          <w:sz w:val="20"/>
          <w:szCs w:val="20"/>
        </w:rPr>
        <w:t xml:space="preserve">The granularity of the time based CHO triggering event should also be considered, e.g. it is configured per measurement id or per </w:t>
      </w:r>
      <w:r>
        <w:rPr>
          <w:rFonts w:hint="eastAsia"/>
          <w:i/>
          <w:iCs/>
          <w:sz w:val="20"/>
          <w:szCs w:val="20"/>
        </w:rPr>
        <w:t>condReconfigId</w:t>
      </w:r>
      <w:r>
        <w:rPr>
          <w:rFonts w:hint="eastAsia"/>
          <w:sz w:val="20"/>
          <w:szCs w:val="20"/>
        </w:rPr>
        <w:t xml:space="preserve">. In our understanding, the time range refers to the valid time range of the candidate SpCell thus can be configured per </w:t>
      </w:r>
      <w:r>
        <w:rPr>
          <w:rFonts w:hint="eastAsia"/>
          <w:i/>
          <w:iCs/>
          <w:sz w:val="20"/>
          <w:szCs w:val="20"/>
        </w:rPr>
        <w:t xml:space="preserve">condReconfigId </w:t>
      </w:r>
      <w:r>
        <w:rPr>
          <w:rFonts w:hint="eastAsia"/>
          <w:sz w:val="20"/>
          <w:szCs w:val="20"/>
        </w:rPr>
        <w:t>with the following structure:</w:t>
      </w:r>
    </w:p>
    <w:p>
      <w:pPr>
        <w:spacing w:line="240" w:lineRule="auto"/>
        <w:jc w:val="left"/>
        <w:rPr>
          <w:sz w:val="20"/>
          <w:szCs w:val="20"/>
        </w:rPr>
      </w:pPr>
      <w:r>
        <w:rPr>
          <w:rFonts w:hint="eastAsia"/>
          <w:sz w:val="20"/>
          <w:szCs w:val="20"/>
        </w:rPr>
        <w:object>
          <v:shape id="_x0000_i1028" o:spt="75" type="#_x0000_t75" style="height:114pt;width:489pt;" o:ole="t" filled="f" o:preferrelative="t" stroked="f" coordsize="21600,21600">
            <v:path/>
            <v:fill on="f" focussize="0,0"/>
            <v:stroke on="f" joinstyle="miter"/>
            <v:imagedata r:id="rId14" o:title=""/>
            <o:lock v:ext="edit" aspectratio="f"/>
            <w10:wrap type="none"/>
            <w10:anchorlock/>
          </v:shape>
          <o:OLEObject Type="Embed" ProgID="Visio.Drawing.15" ShapeID="_x0000_i1028" DrawAspect="Content" ObjectID="_1468075728" r:id="rId13">
            <o:LockedField>false</o:LockedField>
          </o:OLEObject>
        </w:object>
      </w:r>
    </w:p>
    <w:p>
      <w:pPr>
        <w:spacing w:line="240" w:lineRule="auto"/>
        <w:jc w:val="center"/>
        <w:rPr>
          <w:sz w:val="20"/>
          <w:szCs w:val="20"/>
        </w:rPr>
      </w:pPr>
      <w:r>
        <w:rPr>
          <w:rFonts w:hint="eastAsia"/>
          <w:sz w:val="20"/>
          <w:szCs w:val="20"/>
        </w:rPr>
        <w:t xml:space="preserve">Figure 4. Configuring time based CHO triggering event per </w:t>
      </w:r>
      <w:r>
        <w:rPr>
          <w:rFonts w:hint="eastAsia"/>
          <w:i/>
          <w:iCs/>
          <w:sz w:val="20"/>
          <w:szCs w:val="20"/>
        </w:rPr>
        <w:t>condReconfigId</w:t>
      </w:r>
    </w:p>
    <w:p>
      <w:pPr>
        <w:spacing w:line="240" w:lineRule="auto"/>
        <w:jc w:val="left"/>
        <w:rPr>
          <w:b/>
          <w:bCs/>
          <w:sz w:val="20"/>
          <w:szCs w:val="20"/>
        </w:rPr>
      </w:pPr>
      <w:r>
        <w:rPr>
          <w:rFonts w:hint="eastAsia"/>
          <w:b/>
          <w:bCs/>
          <w:sz w:val="20"/>
          <w:szCs w:val="20"/>
        </w:rPr>
        <w:t xml:space="preserve">Proposal 1c: The time based CHO triggering event should be configured per </w:t>
      </w:r>
      <w:r>
        <w:rPr>
          <w:rFonts w:hint="eastAsia"/>
          <w:b/>
          <w:bCs/>
          <w:i/>
          <w:iCs/>
          <w:sz w:val="20"/>
          <w:szCs w:val="20"/>
        </w:rPr>
        <w:t>condReconfigId</w:t>
      </w:r>
      <w:r>
        <w:rPr>
          <w:rFonts w:hint="eastAsia"/>
          <w:b/>
          <w:bCs/>
          <w:sz w:val="20"/>
          <w:szCs w:val="20"/>
        </w:rPr>
        <w:t>.</w:t>
      </w:r>
    </w:p>
    <w:p>
      <w:pPr>
        <w:spacing w:line="240" w:lineRule="auto"/>
        <w:jc w:val="left"/>
        <w:rPr>
          <w:sz w:val="20"/>
          <w:szCs w:val="20"/>
        </w:rPr>
      </w:pPr>
      <w:r>
        <w:rPr>
          <w:rFonts w:hint="eastAsia"/>
          <w:sz w:val="20"/>
          <w:szCs w:val="20"/>
        </w:rPr>
        <w:t>Per the agreements in RAN2#112e, the time range to trigger CHO shall be configured together with the R16 CHO execution condition and the expected CHO execution conditions in NTN would be:</w:t>
      </w:r>
    </w:p>
    <w:tbl>
      <w:tblPr>
        <w:tblStyle w:val="5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1999"/>
        <w:gridCol w:w="1978"/>
        <w:gridCol w:w="2085"/>
        <w:gridCol w:w="2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8" w:type="dxa"/>
            <w:gridSpan w:val="5"/>
            <w:tcBorders>
              <w:top w:val="single" w:color="4F81BD" w:sz="8" w:space="0"/>
              <w:left w:val="single" w:color="4F81BD" w:sz="8" w:space="0"/>
              <w:bottom w:val="single" w:color="4F81BD" w:sz="8" w:space="0"/>
              <w:right w:val="dotted" w:color="auto" w:sz="4" w:space="0"/>
            </w:tcBorders>
            <w:shd w:val="clear" w:color="auto" w:fill="4F81BD"/>
            <w:vAlign w:val="center"/>
          </w:tcPr>
          <w:p>
            <w:pPr>
              <w:spacing w:line="240" w:lineRule="auto"/>
              <w:jc w:val="center"/>
              <w:rPr>
                <w:color w:val="FFFFFF"/>
                <w:sz w:val="20"/>
                <w:szCs w:val="20"/>
                <w:lang w:eastAsia="en-US"/>
              </w:rPr>
            </w:pPr>
            <w:r>
              <w:rPr>
                <w:rFonts w:hint="eastAsia"/>
                <w:color w:val="FFFFFF"/>
                <w:sz w:val="20"/>
                <w:szCs w:val="20"/>
                <w:lang w:eastAsia="en-US"/>
              </w:rPr>
              <w:t>Possible CHO execution conditions for a candidate SpCell in CHO in NR-NTN-R17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0" w:type="dxa"/>
            <w:tcBorders>
              <w:top w:val="single" w:color="4F81BD" w:sz="8" w:space="0"/>
              <w:left w:val="single" w:color="4F81BD" w:sz="8" w:space="0"/>
              <w:bottom w:val="single" w:color="4F81BD" w:sz="8" w:space="0"/>
              <w:right w:val="dotted" w:color="auto" w:sz="4" w:space="0"/>
            </w:tcBorders>
            <w:shd w:val="clear" w:color="auto" w:fill="FFFFFF"/>
            <w:vAlign w:val="center"/>
          </w:tcPr>
          <w:p>
            <w:pPr>
              <w:spacing w:line="240" w:lineRule="auto"/>
              <w:jc w:val="center"/>
              <w:rPr>
                <w:color w:val="000000"/>
                <w:sz w:val="20"/>
                <w:szCs w:val="20"/>
                <w:lang w:eastAsia="en-US"/>
              </w:rPr>
            </w:pPr>
            <w:r>
              <w:rPr>
                <w:rFonts w:hint="eastAsia"/>
                <w:color w:val="000000"/>
                <w:sz w:val="20"/>
                <w:szCs w:val="20"/>
                <w:lang w:eastAsia="en-US"/>
              </w:rPr>
              <w:t>A3</w:t>
            </w:r>
          </w:p>
        </w:tc>
        <w:tc>
          <w:tcPr>
            <w:tcW w:w="1999" w:type="dxa"/>
            <w:tcBorders>
              <w:top w:val="single" w:color="4F81BD" w:sz="8" w:space="0"/>
              <w:left w:val="dotted" w:color="auto" w:sz="4" w:space="0"/>
              <w:bottom w:val="single" w:color="4F81BD" w:sz="8" w:space="0"/>
              <w:right w:val="dotted" w:color="auto" w:sz="4" w:space="0"/>
            </w:tcBorders>
            <w:shd w:val="clear" w:color="auto" w:fill="FFFFFF"/>
            <w:vAlign w:val="center"/>
          </w:tcPr>
          <w:p>
            <w:pPr>
              <w:spacing w:line="240" w:lineRule="auto"/>
              <w:jc w:val="center"/>
              <w:rPr>
                <w:color w:val="000000"/>
                <w:sz w:val="20"/>
                <w:szCs w:val="20"/>
                <w:lang w:eastAsia="en-US"/>
              </w:rPr>
            </w:pPr>
            <w:r>
              <w:rPr>
                <w:rFonts w:hint="eastAsia"/>
                <w:color w:val="000000"/>
                <w:sz w:val="20"/>
                <w:szCs w:val="20"/>
                <w:lang w:eastAsia="en-US"/>
              </w:rPr>
              <w:t>A5</w:t>
            </w:r>
          </w:p>
        </w:tc>
        <w:tc>
          <w:tcPr>
            <w:tcW w:w="1978" w:type="dxa"/>
            <w:tcBorders>
              <w:top w:val="single" w:color="4F81BD" w:sz="8" w:space="0"/>
              <w:left w:val="dotted" w:color="auto" w:sz="4" w:space="0"/>
              <w:bottom w:val="single" w:color="4F81BD" w:sz="8" w:space="0"/>
              <w:right w:val="dotted" w:color="auto" w:sz="4" w:space="0"/>
            </w:tcBorders>
            <w:shd w:val="clear" w:color="auto" w:fill="FFFFFF"/>
            <w:vAlign w:val="center"/>
          </w:tcPr>
          <w:p>
            <w:pPr>
              <w:spacing w:line="240" w:lineRule="auto"/>
              <w:jc w:val="center"/>
              <w:rPr>
                <w:color w:val="000000"/>
                <w:sz w:val="20"/>
                <w:szCs w:val="20"/>
                <w:lang w:eastAsia="en-US"/>
              </w:rPr>
            </w:pPr>
            <w:r>
              <w:rPr>
                <w:rFonts w:hint="eastAsia"/>
                <w:color w:val="000000"/>
                <w:sz w:val="20"/>
                <w:szCs w:val="20"/>
                <w:lang w:eastAsia="en-US"/>
              </w:rPr>
              <w:t>A3+A3</w:t>
            </w:r>
          </w:p>
        </w:tc>
        <w:tc>
          <w:tcPr>
            <w:tcW w:w="2085" w:type="dxa"/>
            <w:tcBorders>
              <w:top w:val="single" w:color="4F81BD" w:sz="8" w:space="0"/>
              <w:left w:val="dotted" w:color="auto" w:sz="4" w:space="0"/>
              <w:bottom w:val="single" w:color="4F81BD" w:sz="8" w:space="0"/>
              <w:right w:val="dotted" w:color="auto" w:sz="4" w:space="0"/>
            </w:tcBorders>
            <w:shd w:val="clear" w:color="auto" w:fill="FFFFFF"/>
            <w:vAlign w:val="center"/>
          </w:tcPr>
          <w:p>
            <w:pPr>
              <w:spacing w:line="240" w:lineRule="auto"/>
              <w:jc w:val="center"/>
              <w:rPr>
                <w:color w:val="000000"/>
                <w:sz w:val="20"/>
                <w:szCs w:val="20"/>
                <w:lang w:eastAsia="en-US"/>
              </w:rPr>
            </w:pPr>
            <w:r>
              <w:rPr>
                <w:rFonts w:hint="eastAsia"/>
                <w:color w:val="000000"/>
                <w:sz w:val="20"/>
                <w:szCs w:val="20"/>
                <w:lang w:eastAsia="en-US"/>
              </w:rPr>
              <w:t>A3+A5</w:t>
            </w:r>
          </w:p>
        </w:tc>
        <w:tc>
          <w:tcPr>
            <w:tcW w:w="2106" w:type="dxa"/>
            <w:tcBorders>
              <w:top w:val="single" w:color="4F81BD" w:sz="8" w:space="0"/>
              <w:left w:val="dotted" w:color="auto" w:sz="4" w:space="0"/>
              <w:bottom w:val="single" w:color="4F81BD" w:sz="8" w:space="0"/>
              <w:right w:val="single" w:color="4F81BD" w:sz="8" w:space="0"/>
            </w:tcBorders>
            <w:shd w:val="clear" w:color="auto" w:fill="FFFFFF"/>
            <w:vAlign w:val="center"/>
          </w:tcPr>
          <w:p>
            <w:pPr>
              <w:spacing w:line="240" w:lineRule="auto"/>
              <w:jc w:val="center"/>
              <w:rPr>
                <w:color w:val="000000"/>
                <w:sz w:val="20"/>
                <w:szCs w:val="20"/>
                <w:lang w:eastAsia="en-US"/>
              </w:rPr>
            </w:pPr>
            <w:r>
              <w:rPr>
                <w:rFonts w:hint="eastAsia"/>
                <w:color w:val="000000"/>
                <w:sz w:val="20"/>
                <w:szCs w:val="20"/>
                <w:lang w:eastAsia="en-US"/>
              </w:rPr>
              <w:t>A5+A5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0" w:type="dxa"/>
            <w:tcBorders>
              <w:top w:val="single" w:color="4F81BD" w:sz="8" w:space="0"/>
              <w:left w:val="single" w:color="4F81BD" w:sz="8" w:space="0"/>
              <w:bottom w:val="single" w:color="4F81BD" w:sz="8" w:space="0"/>
              <w:right w:val="dotted" w:color="auto" w:sz="4" w:space="0"/>
            </w:tcBorders>
            <w:shd w:val="clear" w:color="auto" w:fill="FFFFFF"/>
            <w:vAlign w:val="center"/>
          </w:tcPr>
          <w:p>
            <w:pPr>
              <w:spacing w:line="240" w:lineRule="auto"/>
              <w:jc w:val="center"/>
              <w:rPr>
                <w:color w:val="000000"/>
                <w:sz w:val="20"/>
                <w:szCs w:val="20"/>
                <w:lang w:eastAsia="en-US"/>
              </w:rPr>
            </w:pPr>
            <w:r>
              <w:rPr>
                <w:rFonts w:hint="eastAsia"/>
                <w:color w:val="000000"/>
                <w:sz w:val="20"/>
                <w:szCs w:val="20"/>
                <w:lang w:eastAsia="en-US"/>
              </w:rPr>
              <w:t>A3+ Time range</w:t>
            </w:r>
          </w:p>
        </w:tc>
        <w:tc>
          <w:tcPr>
            <w:tcW w:w="1999" w:type="dxa"/>
            <w:tcBorders>
              <w:top w:val="single" w:color="4F81BD" w:sz="8" w:space="0"/>
              <w:left w:val="dotted" w:color="auto" w:sz="4" w:space="0"/>
              <w:bottom w:val="single" w:color="4F81BD" w:sz="8" w:space="0"/>
              <w:right w:val="dotted" w:color="auto" w:sz="4" w:space="0"/>
            </w:tcBorders>
            <w:shd w:val="clear" w:color="auto" w:fill="FFFFFF"/>
            <w:vAlign w:val="center"/>
          </w:tcPr>
          <w:p>
            <w:pPr>
              <w:spacing w:line="240" w:lineRule="auto"/>
              <w:jc w:val="center"/>
              <w:rPr>
                <w:color w:val="000000"/>
                <w:sz w:val="20"/>
                <w:szCs w:val="20"/>
                <w:lang w:eastAsia="en-US"/>
              </w:rPr>
            </w:pPr>
            <w:r>
              <w:rPr>
                <w:rFonts w:hint="eastAsia"/>
                <w:color w:val="000000"/>
                <w:sz w:val="20"/>
                <w:szCs w:val="20"/>
                <w:lang w:eastAsia="en-US"/>
              </w:rPr>
              <w:t>A5+ Time range</w:t>
            </w:r>
          </w:p>
        </w:tc>
        <w:tc>
          <w:tcPr>
            <w:tcW w:w="1978" w:type="dxa"/>
            <w:tcBorders>
              <w:top w:val="single" w:color="4F81BD" w:sz="8" w:space="0"/>
              <w:left w:val="dotted" w:color="auto" w:sz="4" w:space="0"/>
              <w:bottom w:val="single" w:color="4F81BD" w:sz="8" w:space="0"/>
              <w:right w:val="dotted" w:color="auto" w:sz="4" w:space="0"/>
            </w:tcBorders>
            <w:shd w:val="clear" w:color="auto" w:fill="FFFFFF"/>
            <w:vAlign w:val="center"/>
          </w:tcPr>
          <w:p>
            <w:pPr>
              <w:spacing w:line="240" w:lineRule="auto"/>
              <w:jc w:val="center"/>
              <w:rPr>
                <w:color w:val="000000"/>
                <w:sz w:val="20"/>
                <w:szCs w:val="20"/>
                <w:lang w:eastAsia="en-US"/>
              </w:rPr>
            </w:pPr>
            <w:r>
              <w:rPr>
                <w:rFonts w:hint="eastAsia"/>
                <w:color w:val="000000"/>
                <w:sz w:val="20"/>
                <w:szCs w:val="20"/>
                <w:lang w:eastAsia="en-US"/>
              </w:rPr>
              <w:t>A3+A3+ Time range</w:t>
            </w:r>
          </w:p>
        </w:tc>
        <w:tc>
          <w:tcPr>
            <w:tcW w:w="2085" w:type="dxa"/>
            <w:tcBorders>
              <w:top w:val="single" w:color="4F81BD" w:sz="8" w:space="0"/>
              <w:left w:val="dotted" w:color="auto" w:sz="4" w:space="0"/>
              <w:bottom w:val="single" w:color="4F81BD" w:sz="8" w:space="0"/>
              <w:right w:val="dotted" w:color="auto" w:sz="4" w:space="0"/>
            </w:tcBorders>
            <w:shd w:val="clear" w:color="auto" w:fill="FFFFFF"/>
            <w:vAlign w:val="center"/>
          </w:tcPr>
          <w:p>
            <w:pPr>
              <w:spacing w:line="240" w:lineRule="auto"/>
              <w:jc w:val="center"/>
              <w:rPr>
                <w:color w:val="000000"/>
                <w:sz w:val="20"/>
                <w:szCs w:val="20"/>
                <w:lang w:eastAsia="en-US"/>
              </w:rPr>
            </w:pPr>
            <w:r>
              <w:rPr>
                <w:rFonts w:hint="eastAsia"/>
                <w:color w:val="000000"/>
                <w:sz w:val="20"/>
                <w:szCs w:val="20"/>
                <w:lang w:eastAsia="en-US"/>
              </w:rPr>
              <w:t>A3+ A5+Time range</w:t>
            </w:r>
          </w:p>
        </w:tc>
        <w:tc>
          <w:tcPr>
            <w:tcW w:w="2106" w:type="dxa"/>
            <w:tcBorders>
              <w:top w:val="single" w:color="4F81BD" w:sz="8" w:space="0"/>
              <w:left w:val="dotted" w:color="auto" w:sz="4" w:space="0"/>
              <w:bottom w:val="single" w:color="4F81BD" w:sz="8" w:space="0"/>
              <w:right w:val="single" w:color="4F81BD" w:sz="8" w:space="0"/>
            </w:tcBorders>
            <w:shd w:val="clear" w:color="auto" w:fill="FFFFFF"/>
            <w:vAlign w:val="center"/>
          </w:tcPr>
          <w:p>
            <w:pPr>
              <w:spacing w:line="240" w:lineRule="auto"/>
              <w:jc w:val="center"/>
              <w:rPr>
                <w:color w:val="000000"/>
                <w:sz w:val="20"/>
                <w:szCs w:val="20"/>
                <w:lang w:eastAsia="en-US"/>
              </w:rPr>
            </w:pPr>
            <w:r>
              <w:rPr>
                <w:rFonts w:hint="eastAsia"/>
                <w:color w:val="000000"/>
                <w:sz w:val="20"/>
                <w:szCs w:val="20"/>
                <w:lang w:eastAsia="en-US"/>
              </w:rPr>
              <w:t>A5+ A5+Time range</w:t>
            </w:r>
          </w:p>
        </w:tc>
      </w:tr>
    </w:tbl>
    <w:p>
      <w:pPr>
        <w:spacing w:line="240" w:lineRule="auto"/>
        <w:jc w:val="left"/>
        <w:rPr>
          <w:sz w:val="20"/>
          <w:szCs w:val="20"/>
        </w:rPr>
      </w:pPr>
      <w:r>
        <w:rPr>
          <w:rFonts w:hint="eastAsia"/>
          <w:sz w:val="20"/>
          <w:szCs w:val="20"/>
        </w:rPr>
        <w:t>And a candidate cell is considered to be a trigger cell during the configured time range when the other event(s), i.e. A3/A5/A3+A3/A3+A5/A5+A5, are fulfilled.</w:t>
      </w:r>
    </w:p>
    <w:p>
      <w:pPr>
        <w:spacing w:line="240" w:lineRule="auto"/>
        <w:jc w:val="left"/>
        <w:rPr>
          <w:b/>
          <w:bCs/>
          <w:sz w:val="20"/>
          <w:szCs w:val="20"/>
        </w:rPr>
      </w:pPr>
      <w:r>
        <w:rPr>
          <w:rFonts w:hint="eastAsia"/>
          <w:b/>
          <w:bCs/>
          <w:sz w:val="20"/>
          <w:szCs w:val="20"/>
        </w:rPr>
        <w:t>Proposal 1d: A candidate cell is considered to be a trigger cell during the configured time range when the other configured event(s) for this cell, i.e. A3/A5/A3+A3/A3+A5/A5+A5, are also fulfilled.</w:t>
      </w:r>
    </w:p>
    <w:p>
      <w:pPr>
        <w:pStyle w:val="3"/>
        <w:numPr>
          <w:ilvl w:val="1"/>
          <w:numId w:val="3"/>
        </w:numPr>
        <w:rPr>
          <w:rFonts w:eastAsia="宋体"/>
          <w:b w:val="0"/>
          <w:bCs w:val="0"/>
          <w:sz w:val="28"/>
          <w:szCs w:val="28"/>
          <w:lang w:val="en-US"/>
        </w:rPr>
      </w:pPr>
      <w:r>
        <w:rPr>
          <w:rFonts w:hint="eastAsia" w:eastAsia="宋体"/>
          <w:b w:val="0"/>
          <w:bCs w:val="0"/>
          <w:sz w:val="28"/>
          <w:szCs w:val="28"/>
          <w:lang w:val="en-US"/>
        </w:rPr>
        <w:t>Configuration of the location based CHO triggering event</w:t>
      </w:r>
    </w:p>
    <w:p>
      <w:pPr>
        <w:spacing w:line="240" w:lineRule="auto"/>
        <w:jc w:val="left"/>
        <w:rPr>
          <w:sz w:val="20"/>
          <w:szCs w:val="20"/>
        </w:rPr>
      </w:pPr>
      <w:r>
        <w:rPr>
          <w:rFonts w:hint="eastAsia"/>
          <w:sz w:val="20"/>
          <w:szCs w:val="20"/>
        </w:rPr>
        <w:t>At RAN2#112e, it has been agreed that the location based CHO triggering event shall be configured in combination with the existing CHO triggering events. Regarding the configuration of a location based CHO triggering event, the following approaches have been considered from our perspective:</w:t>
      </w:r>
    </w:p>
    <w:p>
      <w:pPr>
        <w:numPr>
          <w:ilvl w:val="0"/>
          <w:numId w:val="6"/>
        </w:numPr>
        <w:spacing w:line="240" w:lineRule="auto"/>
        <w:jc w:val="left"/>
        <w:rPr>
          <w:sz w:val="20"/>
          <w:szCs w:val="20"/>
          <w:u w:val="single"/>
        </w:rPr>
      </w:pPr>
      <w:r>
        <w:rPr>
          <w:rFonts w:hint="eastAsia"/>
          <w:sz w:val="20"/>
          <w:szCs w:val="20"/>
          <w:u w:val="single"/>
        </w:rPr>
        <w:t>Approach 1: Introduce a new measurement trigger quantity referring to the distance between UE and the serving satellite of a cell.</w:t>
      </w:r>
    </w:p>
    <w:p>
      <w:pPr>
        <w:spacing w:line="240" w:lineRule="auto"/>
        <w:jc w:val="left"/>
        <w:rPr>
          <w:sz w:val="20"/>
          <w:szCs w:val="20"/>
        </w:rPr>
      </w:pPr>
      <w:r>
        <w:rPr>
          <w:rFonts w:hint="eastAsia"/>
          <w:sz w:val="20"/>
          <w:szCs w:val="20"/>
        </w:rPr>
        <w:t xml:space="preserve">The location based CHO triggering event can be configured in a similar way as </w:t>
      </w:r>
      <w:r>
        <w:rPr>
          <w:rFonts w:hint="eastAsia"/>
          <w:i/>
          <w:iCs/>
          <w:sz w:val="20"/>
          <w:szCs w:val="20"/>
        </w:rPr>
        <w:t>condEventA3</w:t>
      </w:r>
      <w:r>
        <w:rPr>
          <w:rFonts w:hint="eastAsia"/>
          <w:sz w:val="20"/>
          <w:szCs w:val="20"/>
        </w:rPr>
        <w:t xml:space="preserve"> and </w:t>
      </w:r>
      <w:r>
        <w:rPr>
          <w:rFonts w:hint="eastAsia"/>
          <w:i/>
          <w:iCs/>
          <w:sz w:val="20"/>
          <w:szCs w:val="20"/>
        </w:rPr>
        <w:t>condEventA5</w:t>
      </w:r>
      <w:r>
        <w:rPr>
          <w:rFonts w:hint="eastAsia"/>
          <w:sz w:val="20"/>
          <w:szCs w:val="20"/>
        </w:rPr>
        <w:t xml:space="preserve"> when the RSRP/RSRQ/SINR is used as the measurement trigger quantity. </w:t>
      </w:r>
    </w:p>
    <w:p>
      <w:pPr>
        <w:spacing w:line="240" w:lineRule="auto"/>
        <w:jc w:val="left"/>
        <w:rPr>
          <w:sz w:val="20"/>
          <w:szCs w:val="20"/>
        </w:rPr>
      </w:pPr>
      <w:r>
        <w:rPr>
          <w:rFonts w:hint="eastAsia"/>
          <w:sz w:val="20"/>
          <w:szCs w:val="20"/>
        </w:rPr>
        <w:t xml:space="preserve">For example, an offset can be configured and entry condition is that the distance between UE and the serving satellite of the cells configured as measurement object is offset shorter than the distance between UE and serving satellite of PCell/PSCell. </w:t>
      </w:r>
    </w:p>
    <w:p>
      <w:pPr>
        <w:spacing w:line="240" w:lineRule="auto"/>
        <w:jc w:val="left"/>
        <w:rPr>
          <w:sz w:val="20"/>
          <w:szCs w:val="20"/>
        </w:rPr>
      </w:pPr>
      <w:r>
        <w:rPr>
          <w:rFonts w:hint="eastAsia"/>
          <w:sz w:val="20"/>
          <w:szCs w:val="20"/>
        </w:rPr>
        <w:t>Another example is to configure two thresholds, and the entry condition is that the distance between UE and the serving satellite of PCell/PSCell becomes longer than absolute threshold1 AND the distance between UE and the serving satellites of the cells configured as measurement object becomes shorter than another absolute threshold2.</w:t>
      </w:r>
    </w:p>
    <w:p>
      <w:pPr>
        <w:numPr>
          <w:ilvl w:val="0"/>
          <w:numId w:val="6"/>
        </w:numPr>
        <w:spacing w:line="240" w:lineRule="auto"/>
        <w:jc w:val="left"/>
        <w:rPr>
          <w:sz w:val="20"/>
          <w:szCs w:val="20"/>
          <w:u w:val="single"/>
        </w:rPr>
      </w:pPr>
      <w:r>
        <w:rPr>
          <w:rFonts w:hint="eastAsia"/>
          <w:sz w:val="20"/>
          <w:szCs w:val="20"/>
          <w:u w:val="single"/>
        </w:rPr>
        <w:t>Approach 2: Introduce a new measurement trigger quantity referring to the distance between UE and the cell center of a cell.</w:t>
      </w:r>
    </w:p>
    <w:p>
      <w:pPr>
        <w:spacing w:line="240" w:lineRule="auto"/>
        <w:jc w:val="left"/>
        <w:rPr>
          <w:sz w:val="20"/>
          <w:szCs w:val="20"/>
        </w:rPr>
      </w:pPr>
      <w:r>
        <w:rPr>
          <w:rFonts w:hint="eastAsia"/>
          <w:sz w:val="20"/>
          <w:szCs w:val="20"/>
        </w:rPr>
        <w:t xml:space="preserve">The location based CHO triggering event can be configured in a similar way as </w:t>
      </w:r>
      <w:r>
        <w:rPr>
          <w:rFonts w:hint="eastAsia"/>
          <w:i/>
          <w:iCs/>
          <w:sz w:val="20"/>
          <w:szCs w:val="20"/>
        </w:rPr>
        <w:t>condEventA3</w:t>
      </w:r>
      <w:r>
        <w:rPr>
          <w:rFonts w:hint="eastAsia"/>
          <w:sz w:val="20"/>
          <w:szCs w:val="20"/>
        </w:rPr>
        <w:t xml:space="preserve"> and </w:t>
      </w:r>
      <w:r>
        <w:rPr>
          <w:rFonts w:hint="eastAsia"/>
          <w:i/>
          <w:iCs/>
          <w:sz w:val="20"/>
          <w:szCs w:val="20"/>
        </w:rPr>
        <w:t>condEventA5</w:t>
      </w:r>
      <w:r>
        <w:rPr>
          <w:rFonts w:hint="eastAsia"/>
          <w:sz w:val="20"/>
          <w:szCs w:val="20"/>
        </w:rPr>
        <w:t xml:space="preserve"> when the RSRP/RSRQ/SINR is used as the measurement trigger quantity. </w:t>
      </w:r>
    </w:p>
    <w:p>
      <w:pPr>
        <w:spacing w:line="240" w:lineRule="auto"/>
        <w:jc w:val="left"/>
        <w:rPr>
          <w:sz w:val="20"/>
          <w:szCs w:val="20"/>
        </w:rPr>
      </w:pPr>
      <w:r>
        <w:rPr>
          <w:rFonts w:hint="eastAsia"/>
          <w:sz w:val="20"/>
          <w:szCs w:val="20"/>
        </w:rPr>
        <w:t xml:space="preserve">For example, an offset can be configured and entry condition is that the distance between UE and the cell center of the cells configured as measurement object is offset shorter than the distance between serving UE and cell center of PCell/PSCell. </w:t>
      </w:r>
    </w:p>
    <w:p>
      <w:pPr>
        <w:spacing w:line="240" w:lineRule="auto"/>
        <w:jc w:val="left"/>
        <w:rPr>
          <w:sz w:val="20"/>
          <w:szCs w:val="20"/>
          <w:u w:val="single"/>
        </w:rPr>
      </w:pPr>
      <w:r>
        <w:rPr>
          <w:rFonts w:hint="eastAsia"/>
          <w:sz w:val="20"/>
          <w:szCs w:val="20"/>
        </w:rPr>
        <w:t>Another example is to configure two thresholds, and the entry condition is that the distance between UE and the cell center of PCell/PSCell becomes longer than absolute threshold1 AND the distance between UE and the cell center of the cells configured as measurement object becomes shorter than another absolute threshold2.</w:t>
      </w:r>
    </w:p>
    <w:p>
      <w:pPr>
        <w:numPr>
          <w:ilvl w:val="0"/>
          <w:numId w:val="6"/>
        </w:numPr>
        <w:spacing w:line="240" w:lineRule="auto"/>
        <w:jc w:val="left"/>
        <w:rPr>
          <w:sz w:val="20"/>
          <w:szCs w:val="20"/>
          <w:u w:val="single"/>
        </w:rPr>
      </w:pPr>
      <w:r>
        <w:rPr>
          <w:rFonts w:hint="eastAsia"/>
          <w:sz w:val="20"/>
          <w:szCs w:val="20"/>
          <w:u w:val="single"/>
        </w:rPr>
        <w:t>Approach 3: Configure a geographical area scope referring to the coverage of the candidate target cell.</w:t>
      </w:r>
    </w:p>
    <w:p>
      <w:pPr>
        <w:spacing w:line="240" w:lineRule="auto"/>
        <w:jc w:val="left"/>
        <w:rPr>
          <w:sz w:val="20"/>
          <w:szCs w:val="20"/>
        </w:rPr>
      </w:pPr>
      <w:r>
        <w:rPr>
          <w:rFonts w:hint="eastAsia"/>
          <w:sz w:val="20"/>
          <w:szCs w:val="20"/>
        </w:rPr>
        <w:t>Similar to the configuration of time range based CHO triggering event, the geographical area scope referring to the coverage of a candidate target cell can be configured while the entry condition would be UE moves into this area.</w:t>
      </w:r>
    </w:p>
    <w:p>
      <w:pPr>
        <w:spacing w:line="240" w:lineRule="auto"/>
        <w:jc w:val="left"/>
        <w:rPr>
          <w:sz w:val="20"/>
          <w:szCs w:val="20"/>
        </w:rPr>
      </w:pPr>
      <w:r>
        <w:rPr>
          <w:rFonts w:hint="eastAsia"/>
          <w:sz w:val="20"/>
          <w:szCs w:val="20"/>
        </w:rPr>
        <w:t>The geographical area of the candidate target cell can be configured in various ways, e.g. by configuring a list of coordinates, a list of TAs when the TA is fixed on earth, a reference location as the center of a ellipse along with the radius.</w:t>
      </w:r>
    </w:p>
    <w:p>
      <w:pPr>
        <w:spacing w:line="240" w:lineRule="auto"/>
        <w:jc w:val="left"/>
        <w:rPr>
          <w:sz w:val="20"/>
          <w:szCs w:val="20"/>
        </w:rPr>
      </w:pPr>
      <w:r>
        <w:rPr>
          <w:rFonts w:hint="eastAsia"/>
          <w:sz w:val="20"/>
          <w:szCs w:val="20"/>
        </w:rPr>
        <w:t>For approach 1, UE would be able to derive the location of a satellite based on the ephemeris but the association between satellite and cells should also be provided to UE since the CHO evaluation and execution is performed per cell level. For approach 2, the location of the cell center can either be provided to UE directly or derived by UE based on the ephemeris together with the cell deployment information. For approach 3, since UE is assumed with GNSS capabilities, it seems that no additional information is needed.</w:t>
      </w:r>
    </w:p>
    <w:p>
      <w:pPr>
        <w:spacing w:line="240" w:lineRule="auto"/>
        <w:jc w:val="left"/>
        <w:rPr>
          <w:sz w:val="20"/>
          <w:szCs w:val="20"/>
        </w:rPr>
      </w:pPr>
      <w:r>
        <w:rPr>
          <w:rFonts w:hint="eastAsia"/>
          <w:sz w:val="20"/>
          <w:szCs w:val="20"/>
        </w:rPr>
        <w:t>In our understanding, all the above approaches can help UE decide whether to execute CHO with its location taken into consideration and can all be considered as candidate solutions for location based CHO triggering event configuration. Down selection from these approaches should also be considered in RAN2 to narrow down the scope of the discussion.</w:t>
      </w:r>
    </w:p>
    <w:p>
      <w:pPr>
        <w:spacing w:line="240" w:lineRule="auto"/>
        <w:jc w:val="left"/>
        <w:rPr>
          <w:b/>
          <w:bCs/>
          <w:sz w:val="20"/>
          <w:szCs w:val="20"/>
        </w:rPr>
      </w:pPr>
      <w:r>
        <w:rPr>
          <w:rFonts w:hint="eastAsia"/>
          <w:b/>
          <w:bCs/>
          <w:sz w:val="20"/>
          <w:szCs w:val="20"/>
        </w:rPr>
        <w:t>Proposal 2: Down select from the following approaches in location based CHO triggering event configuration:</w:t>
      </w:r>
    </w:p>
    <w:p>
      <w:pPr>
        <w:numPr>
          <w:ilvl w:val="0"/>
          <w:numId w:val="7"/>
        </w:numPr>
        <w:spacing w:line="240" w:lineRule="auto"/>
        <w:jc w:val="left"/>
        <w:rPr>
          <w:b/>
          <w:bCs/>
          <w:sz w:val="20"/>
          <w:szCs w:val="20"/>
        </w:rPr>
      </w:pPr>
      <w:r>
        <w:rPr>
          <w:b/>
          <w:bCs/>
          <w:sz w:val="20"/>
          <w:szCs w:val="20"/>
        </w:rPr>
        <w:t>Approach 1: Introduce a new measurement trigger quantity referring to the disa</w:t>
      </w:r>
      <w:r>
        <w:rPr>
          <w:rFonts w:hint="eastAsia"/>
          <w:b/>
          <w:bCs/>
          <w:sz w:val="20"/>
          <w:szCs w:val="20"/>
        </w:rPr>
        <w:t>nce</w:t>
      </w:r>
      <w:r>
        <w:rPr>
          <w:b/>
          <w:bCs/>
          <w:sz w:val="20"/>
          <w:szCs w:val="20"/>
        </w:rPr>
        <w:t xml:space="preserve"> between UE and the serving satellite of a cell.</w:t>
      </w:r>
    </w:p>
    <w:p>
      <w:pPr>
        <w:numPr>
          <w:ilvl w:val="0"/>
          <w:numId w:val="7"/>
        </w:numPr>
        <w:spacing w:line="240" w:lineRule="auto"/>
        <w:jc w:val="left"/>
        <w:rPr>
          <w:b/>
          <w:bCs/>
          <w:sz w:val="20"/>
          <w:szCs w:val="20"/>
        </w:rPr>
      </w:pPr>
      <w:r>
        <w:rPr>
          <w:b/>
          <w:bCs/>
          <w:sz w:val="20"/>
          <w:szCs w:val="20"/>
        </w:rPr>
        <w:t>Approach 2: Introduce a new measurement trigger quantity referring to the dis</w:t>
      </w:r>
      <w:r>
        <w:rPr>
          <w:rFonts w:hint="eastAsia"/>
          <w:b/>
          <w:bCs/>
          <w:sz w:val="20"/>
          <w:szCs w:val="20"/>
        </w:rPr>
        <w:t>tance</w:t>
      </w:r>
      <w:r>
        <w:rPr>
          <w:b/>
          <w:bCs/>
          <w:sz w:val="20"/>
          <w:szCs w:val="20"/>
        </w:rPr>
        <w:t xml:space="preserve"> between UE and the cell cent</w:t>
      </w:r>
      <w:r>
        <w:rPr>
          <w:rFonts w:hint="eastAsia"/>
          <w:b/>
          <w:bCs/>
          <w:sz w:val="20"/>
          <w:szCs w:val="20"/>
        </w:rPr>
        <w:t xml:space="preserve">er </w:t>
      </w:r>
      <w:r>
        <w:rPr>
          <w:b/>
          <w:bCs/>
          <w:sz w:val="20"/>
          <w:szCs w:val="20"/>
        </w:rPr>
        <w:t>of a cell.</w:t>
      </w:r>
    </w:p>
    <w:p>
      <w:pPr>
        <w:numPr>
          <w:ilvl w:val="0"/>
          <w:numId w:val="7"/>
        </w:numPr>
        <w:spacing w:line="240" w:lineRule="auto"/>
        <w:jc w:val="left"/>
        <w:rPr>
          <w:b/>
          <w:bCs/>
          <w:sz w:val="20"/>
          <w:szCs w:val="20"/>
        </w:rPr>
      </w:pPr>
      <w:r>
        <w:rPr>
          <w:b/>
          <w:bCs/>
          <w:sz w:val="20"/>
          <w:szCs w:val="20"/>
        </w:rPr>
        <w:t>Approach 3: Configure a ge</w:t>
      </w:r>
      <w:r>
        <w:rPr>
          <w:rFonts w:hint="eastAsia"/>
          <w:b/>
          <w:bCs/>
          <w:sz w:val="20"/>
          <w:szCs w:val="20"/>
        </w:rPr>
        <w:t>o</w:t>
      </w:r>
      <w:r>
        <w:rPr>
          <w:b/>
          <w:bCs/>
          <w:sz w:val="20"/>
          <w:szCs w:val="20"/>
        </w:rPr>
        <w:t>graphical area scope referring to the coverage of the candidate target cell.</w:t>
      </w:r>
    </w:p>
    <w:p>
      <w:pPr>
        <w:spacing w:line="240" w:lineRule="auto"/>
        <w:jc w:val="left"/>
        <w:rPr>
          <w:sz w:val="20"/>
          <w:szCs w:val="20"/>
        </w:rPr>
      </w:pPr>
      <w:r>
        <w:rPr>
          <w:rFonts w:hint="eastAsia"/>
          <w:sz w:val="20"/>
          <w:szCs w:val="20"/>
        </w:rPr>
        <w:t>Further details on the further details of the configuration, e.g. the definition of the entry condition and leaving condition of the triggering event, the granularity of the configuration (per measurement id or per condReconfigId), details on the configuration of the geographical area scope of the candidate target cell and the expected UE behavior upon reception of the configuration can be discussed after the down selection has been performed.</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sz w:val="20"/>
          <w:szCs w:val="20"/>
        </w:rPr>
      </w:pPr>
      <w:r>
        <w:rPr>
          <w:rFonts w:hint="eastAsia"/>
          <w:sz w:val="20"/>
          <w:szCs w:val="20"/>
        </w:rPr>
        <w:t>With the above analysis, we have the following conclusions and proposals:</w:t>
      </w:r>
    </w:p>
    <w:p>
      <w:pPr>
        <w:rPr>
          <w:sz w:val="20"/>
          <w:szCs w:val="20"/>
          <w:u w:val="single"/>
        </w:rPr>
      </w:pPr>
      <w:r>
        <w:rPr>
          <w:rFonts w:hint="eastAsia"/>
          <w:sz w:val="20"/>
          <w:szCs w:val="20"/>
          <w:u w:val="single"/>
        </w:rPr>
        <w:t>Configuration of the time(r) based CHO triggering event</w:t>
      </w:r>
    </w:p>
    <w:p>
      <w:pPr>
        <w:spacing w:line="240" w:lineRule="auto"/>
        <w:jc w:val="left"/>
        <w:rPr>
          <w:b/>
          <w:bCs/>
          <w:sz w:val="20"/>
          <w:szCs w:val="20"/>
        </w:rPr>
      </w:pPr>
      <w:r>
        <w:rPr>
          <w:rFonts w:hint="eastAsia"/>
          <w:b/>
          <w:bCs/>
          <w:sz w:val="20"/>
          <w:szCs w:val="20"/>
        </w:rPr>
        <w:t xml:space="preserve">Proposal 1a: The time based CHO triggering event should be configured as an absolute time range, during which the candidate cell is available. </w:t>
      </w:r>
    </w:p>
    <w:p>
      <w:pPr>
        <w:spacing w:line="240" w:lineRule="auto"/>
        <w:jc w:val="left"/>
        <w:rPr>
          <w:b/>
          <w:bCs/>
          <w:sz w:val="20"/>
          <w:szCs w:val="20"/>
        </w:rPr>
      </w:pPr>
      <w:r>
        <w:rPr>
          <w:rFonts w:hint="eastAsia"/>
          <w:b/>
          <w:bCs/>
          <w:sz w:val="20"/>
          <w:szCs w:val="20"/>
        </w:rPr>
        <w:t>Proposal 1b: Down select from the following solutions to configure the time range as the CHO trggering event:</w:t>
      </w:r>
    </w:p>
    <w:p>
      <w:pPr>
        <w:numPr>
          <w:ilvl w:val="0"/>
          <w:numId w:val="5"/>
        </w:numPr>
        <w:spacing w:line="240" w:lineRule="auto"/>
        <w:jc w:val="left"/>
        <w:rPr>
          <w:b/>
          <w:bCs/>
          <w:sz w:val="20"/>
          <w:szCs w:val="20"/>
        </w:rPr>
      </w:pPr>
      <w:r>
        <w:rPr>
          <w:rFonts w:hint="eastAsia"/>
          <w:b/>
          <w:bCs/>
          <w:sz w:val="20"/>
          <w:szCs w:val="20"/>
        </w:rPr>
        <w:t>Solution 1: Two thresholds of the time to indicate the start and expire time of the candidate cell.</w:t>
      </w:r>
    </w:p>
    <w:p>
      <w:pPr>
        <w:numPr>
          <w:ilvl w:val="0"/>
          <w:numId w:val="5"/>
        </w:numPr>
        <w:spacing w:line="240" w:lineRule="auto"/>
        <w:jc w:val="left"/>
        <w:rPr>
          <w:sz w:val="20"/>
          <w:szCs w:val="20"/>
        </w:rPr>
      </w:pPr>
      <w:r>
        <w:rPr>
          <w:rFonts w:hint="eastAsia"/>
          <w:b/>
          <w:bCs/>
          <w:sz w:val="20"/>
          <w:szCs w:val="20"/>
        </w:rPr>
        <w:t>Solution 2: A start time with a duration to indicate the valid time range of the candidate cell.</w:t>
      </w:r>
    </w:p>
    <w:p>
      <w:pPr>
        <w:spacing w:line="240" w:lineRule="auto"/>
        <w:jc w:val="left"/>
        <w:rPr>
          <w:b/>
          <w:bCs/>
          <w:sz w:val="20"/>
          <w:szCs w:val="20"/>
        </w:rPr>
      </w:pPr>
      <w:r>
        <w:rPr>
          <w:rFonts w:hint="eastAsia"/>
          <w:b/>
          <w:bCs/>
          <w:sz w:val="20"/>
          <w:szCs w:val="20"/>
        </w:rPr>
        <w:t xml:space="preserve">Proposal 1c: The time based CHO triggering event should be configured per </w:t>
      </w:r>
      <w:r>
        <w:rPr>
          <w:rFonts w:hint="eastAsia"/>
          <w:b/>
          <w:bCs/>
          <w:i/>
          <w:iCs/>
          <w:sz w:val="20"/>
          <w:szCs w:val="20"/>
        </w:rPr>
        <w:t>condReconfigId</w:t>
      </w:r>
      <w:r>
        <w:rPr>
          <w:rFonts w:hint="eastAsia"/>
          <w:b/>
          <w:bCs/>
          <w:sz w:val="20"/>
          <w:szCs w:val="20"/>
        </w:rPr>
        <w:t>.</w:t>
      </w:r>
    </w:p>
    <w:p>
      <w:pPr>
        <w:spacing w:line="240" w:lineRule="auto"/>
        <w:jc w:val="left"/>
        <w:rPr>
          <w:sz w:val="20"/>
          <w:szCs w:val="20"/>
        </w:rPr>
      </w:pPr>
      <w:r>
        <w:rPr>
          <w:rFonts w:hint="eastAsia"/>
          <w:b/>
          <w:bCs/>
          <w:sz w:val="20"/>
          <w:szCs w:val="20"/>
        </w:rPr>
        <w:t>Proposal 1d: A candidate cell is considered to be a trigger cell during the configured time range when the other configured event(s) for this cell, i.e. A3/A5/A3+A3/A3+A5/A5+A5, are also fulfilled.</w:t>
      </w:r>
    </w:p>
    <w:p>
      <w:pPr>
        <w:rPr>
          <w:sz w:val="20"/>
          <w:szCs w:val="20"/>
          <w:u w:val="single"/>
        </w:rPr>
      </w:pPr>
      <w:r>
        <w:rPr>
          <w:rFonts w:hint="eastAsia"/>
          <w:sz w:val="20"/>
          <w:szCs w:val="20"/>
          <w:u w:val="single"/>
        </w:rPr>
        <w:t>Configuration of the location based CHO triggering event</w:t>
      </w:r>
    </w:p>
    <w:p>
      <w:pPr>
        <w:spacing w:line="240" w:lineRule="auto"/>
        <w:jc w:val="left"/>
        <w:rPr>
          <w:b/>
          <w:bCs/>
          <w:sz w:val="20"/>
          <w:szCs w:val="20"/>
        </w:rPr>
      </w:pPr>
      <w:r>
        <w:rPr>
          <w:rFonts w:hint="eastAsia"/>
          <w:b/>
          <w:bCs/>
          <w:sz w:val="20"/>
          <w:szCs w:val="20"/>
        </w:rPr>
        <w:t>Proposal 2: Down select from the following approaches in location based CHO triggering event configuration:</w:t>
      </w:r>
    </w:p>
    <w:p>
      <w:pPr>
        <w:numPr>
          <w:ilvl w:val="0"/>
          <w:numId w:val="7"/>
        </w:numPr>
        <w:spacing w:line="240" w:lineRule="auto"/>
        <w:jc w:val="left"/>
        <w:rPr>
          <w:b/>
          <w:bCs/>
          <w:sz w:val="20"/>
          <w:szCs w:val="20"/>
        </w:rPr>
      </w:pPr>
      <w:r>
        <w:rPr>
          <w:b/>
          <w:bCs/>
          <w:sz w:val="20"/>
          <w:szCs w:val="20"/>
        </w:rPr>
        <w:t>Approach 1: Introduce a new measurement trigger quantity referring to the dis</w:t>
      </w:r>
      <w:r>
        <w:rPr>
          <w:rFonts w:hint="eastAsia"/>
          <w:b/>
          <w:bCs/>
          <w:sz w:val="20"/>
          <w:szCs w:val="20"/>
        </w:rPr>
        <w:t>tance</w:t>
      </w:r>
      <w:r>
        <w:rPr>
          <w:b/>
          <w:bCs/>
          <w:sz w:val="20"/>
          <w:szCs w:val="20"/>
        </w:rPr>
        <w:t xml:space="preserve"> between UE and the serving satellite of a cell.</w:t>
      </w:r>
    </w:p>
    <w:p>
      <w:pPr>
        <w:numPr>
          <w:ilvl w:val="0"/>
          <w:numId w:val="7"/>
        </w:numPr>
        <w:spacing w:line="240" w:lineRule="auto"/>
        <w:jc w:val="left"/>
        <w:rPr>
          <w:b/>
          <w:bCs/>
          <w:sz w:val="20"/>
          <w:szCs w:val="20"/>
        </w:rPr>
      </w:pPr>
      <w:r>
        <w:rPr>
          <w:b/>
          <w:bCs/>
          <w:sz w:val="20"/>
          <w:szCs w:val="20"/>
        </w:rPr>
        <w:t>Approach 2: Introduce a new measurement trigger quantity referring to the dis</w:t>
      </w:r>
      <w:r>
        <w:rPr>
          <w:rFonts w:hint="eastAsia"/>
          <w:b/>
          <w:bCs/>
          <w:sz w:val="20"/>
          <w:szCs w:val="20"/>
        </w:rPr>
        <w:t>tance</w:t>
      </w:r>
      <w:r>
        <w:rPr>
          <w:b/>
          <w:bCs/>
          <w:sz w:val="20"/>
          <w:szCs w:val="20"/>
        </w:rPr>
        <w:t xml:space="preserve"> between UE and the cell cente</w:t>
      </w:r>
      <w:r>
        <w:rPr>
          <w:rFonts w:hint="eastAsia"/>
          <w:b/>
          <w:bCs/>
          <w:sz w:val="20"/>
          <w:szCs w:val="20"/>
        </w:rPr>
        <w:t>r</w:t>
      </w:r>
      <w:r>
        <w:rPr>
          <w:b/>
          <w:bCs/>
          <w:sz w:val="20"/>
          <w:szCs w:val="20"/>
        </w:rPr>
        <w:t xml:space="preserve"> of a cell.</w:t>
      </w:r>
    </w:p>
    <w:p>
      <w:pPr>
        <w:numPr>
          <w:ilvl w:val="0"/>
          <w:numId w:val="7"/>
        </w:numPr>
        <w:spacing w:line="240" w:lineRule="auto"/>
        <w:jc w:val="left"/>
        <w:rPr>
          <w:b/>
          <w:bCs/>
          <w:sz w:val="20"/>
          <w:szCs w:val="20"/>
        </w:rPr>
      </w:pPr>
      <w:r>
        <w:rPr>
          <w:b/>
          <w:bCs/>
          <w:sz w:val="20"/>
          <w:szCs w:val="20"/>
        </w:rPr>
        <w:t>Approach 3: Configure a ge</w:t>
      </w:r>
      <w:r>
        <w:rPr>
          <w:rFonts w:hint="eastAsia"/>
          <w:b/>
          <w:bCs/>
          <w:sz w:val="20"/>
          <w:szCs w:val="20"/>
        </w:rPr>
        <w:t>o</w:t>
      </w:r>
      <w:r>
        <w:rPr>
          <w:b/>
          <w:bCs/>
          <w:sz w:val="20"/>
          <w:szCs w:val="20"/>
        </w:rPr>
        <w:t>graphical area scope referring to the coverage of the candidate target cell.</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8"/>
        </w:numPr>
        <w:spacing w:line="260" w:lineRule="auto"/>
        <w:ind w:firstLineChars="0"/>
        <w:jc w:val="left"/>
        <w:rPr>
          <w:sz w:val="20"/>
          <w:szCs w:val="20"/>
        </w:rPr>
      </w:pPr>
      <w:r>
        <w:rPr>
          <w:rFonts w:hint="eastAsia"/>
          <w:sz w:val="20"/>
          <w:szCs w:val="20"/>
        </w:rPr>
        <w:t>Draft_RAN2_112-e_Meeting_Report_v2</w:t>
      </w:r>
    </w:p>
    <w:p>
      <w:pPr>
        <w:pStyle w:val="68"/>
        <w:numPr>
          <w:ilvl w:val="0"/>
          <w:numId w:val="8"/>
        </w:numPr>
        <w:spacing w:line="260" w:lineRule="auto"/>
        <w:ind w:firstLineChars="0"/>
        <w:jc w:val="left"/>
        <w:rPr>
          <w:sz w:val="20"/>
          <w:szCs w:val="20"/>
        </w:rPr>
      </w:pPr>
      <w:r>
        <w:rPr>
          <w:rFonts w:hint="eastAsia"/>
          <w:sz w:val="20"/>
          <w:szCs w:val="20"/>
        </w:rPr>
        <w:t>TS 38.331 V16.3.0</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43E8CD"/>
    <w:multiLevelType w:val="singleLevel"/>
    <w:tmpl w:val="C543E8CD"/>
    <w:lvl w:ilvl="0" w:tentative="0">
      <w:start w:val="1"/>
      <w:numFmt w:val="bullet"/>
      <w:lvlText w:val=""/>
      <w:lvlJc w:val="left"/>
      <w:pPr>
        <w:tabs>
          <w:tab w:val="left" w:pos="420"/>
        </w:tabs>
        <w:ind w:left="840" w:hanging="420"/>
      </w:pPr>
      <w:rPr>
        <w:rFonts w:hint="default" w:ascii="Wingdings" w:hAnsi="Wingdings"/>
      </w:rPr>
    </w:lvl>
  </w:abstractNum>
  <w:abstractNum w:abstractNumId="1">
    <w:nsid w:val="FE085B9B"/>
    <w:multiLevelType w:val="singleLevel"/>
    <w:tmpl w:val="FE085B9B"/>
    <w:lvl w:ilvl="0" w:tentative="0">
      <w:start w:val="1"/>
      <w:numFmt w:val="bullet"/>
      <w:lvlText w:val=""/>
      <w:lvlJc w:val="left"/>
      <w:pPr>
        <w:tabs>
          <w:tab w:val="left" w:pos="420"/>
        </w:tabs>
        <w:ind w:left="84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E221A3D"/>
    <w:multiLevelType w:val="singleLevel"/>
    <w:tmpl w:val="2E221A3D"/>
    <w:lvl w:ilvl="0" w:tentative="0">
      <w:start w:val="1"/>
      <w:numFmt w:val="bullet"/>
      <w:lvlText w:val=""/>
      <w:lvlJc w:val="left"/>
      <w:pPr>
        <w:ind w:left="420" w:hanging="420"/>
      </w:pPr>
      <w:rPr>
        <w:rFonts w:hint="default" w:ascii="Wingdings" w:hAnsi="Wingdings"/>
      </w:rPr>
    </w:lvl>
  </w:abstractNum>
  <w:abstractNum w:abstractNumId="5">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6FC31308"/>
    <w:multiLevelType w:val="singleLevel"/>
    <w:tmpl w:val="6FC31308"/>
    <w:lvl w:ilvl="0" w:tentative="0">
      <w:start w:val="1"/>
      <w:numFmt w:val="bullet"/>
      <w:lvlText w:val=""/>
      <w:lvlJc w:val="left"/>
      <w:pPr>
        <w:tabs>
          <w:tab w:val="left" w:pos="420"/>
        </w:tabs>
        <w:ind w:left="840" w:hanging="420"/>
      </w:pPr>
      <w:rPr>
        <w:rFonts w:hint="default" w:ascii="Wingdings" w:hAnsi="Wingdings"/>
      </w:rPr>
    </w:lvl>
  </w:abstractNum>
  <w:num w:numId="1">
    <w:abstractNumId w:val="2"/>
  </w:num>
  <w:num w:numId="2">
    <w:abstractNumId w:val="6"/>
  </w:num>
  <w:num w:numId="3">
    <w:abstractNumId w:val="3"/>
  </w:num>
  <w:num w:numId="4">
    <w:abstractNumId w:val="0"/>
  </w:num>
  <w:num w:numId="5">
    <w:abstractNumId w:val="1"/>
  </w:num>
  <w:num w:numId="6">
    <w:abstractNumId w:val="4"/>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1398"/>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49FF"/>
    <w:rsid w:val="000554CA"/>
    <w:rsid w:val="000563ED"/>
    <w:rsid w:val="000603D6"/>
    <w:rsid w:val="00062984"/>
    <w:rsid w:val="00067927"/>
    <w:rsid w:val="0007093A"/>
    <w:rsid w:val="00071F15"/>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742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3E67"/>
    <w:rsid w:val="001147C0"/>
    <w:rsid w:val="00115029"/>
    <w:rsid w:val="001156DF"/>
    <w:rsid w:val="001253A3"/>
    <w:rsid w:val="00126145"/>
    <w:rsid w:val="0012673B"/>
    <w:rsid w:val="001277F8"/>
    <w:rsid w:val="00131F75"/>
    <w:rsid w:val="0013288E"/>
    <w:rsid w:val="00134275"/>
    <w:rsid w:val="00134593"/>
    <w:rsid w:val="0013534D"/>
    <w:rsid w:val="00137B0E"/>
    <w:rsid w:val="00137D4E"/>
    <w:rsid w:val="001413B6"/>
    <w:rsid w:val="00141835"/>
    <w:rsid w:val="00143566"/>
    <w:rsid w:val="00145AFF"/>
    <w:rsid w:val="001476CA"/>
    <w:rsid w:val="00147740"/>
    <w:rsid w:val="00150BAB"/>
    <w:rsid w:val="00156452"/>
    <w:rsid w:val="00160A40"/>
    <w:rsid w:val="001627D9"/>
    <w:rsid w:val="00166327"/>
    <w:rsid w:val="00170C6A"/>
    <w:rsid w:val="00171FF9"/>
    <w:rsid w:val="0017245C"/>
    <w:rsid w:val="00172A27"/>
    <w:rsid w:val="00175874"/>
    <w:rsid w:val="001767E6"/>
    <w:rsid w:val="00176AC2"/>
    <w:rsid w:val="001802FB"/>
    <w:rsid w:val="001806A8"/>
    <w:rsid w:val="00180983"/>
    <w:rsid w:val="0018310D"/>
    <w:rsid w:val="00184250"/>
    <w:rsid w:val="00187FEF"/>
    <w:rsid w:val="00190A8D"/>
    <w:rsid w:val="00191525"/>
    <w:rsid w:val="0019547D"/>
    <w:rsid w:val="00195E1F"/>
    <w:rsid w:val="00196645"/>
    <w:rsid w:val="00197997"/>
    <w:rsid w:val="001A0804"/>
    <w:rsid w:val="001A384E"/>
    <w:rsid w:val="001A4015"/>
    <w:rsid w:val="001A6AFD"/>
    <w:rsid w:val="001B000D"/>
    <w:rsid w:val="001B21A1"/>
    <w:rsid w:val="001B337C"/>
    <w:rsid w:val="001B56E7"/>
    <w:rsid w:val="001B5AE5"/>
    <w:rsid w:val="001B6518"/>
    <w:rsid w:val="001B7027"/>
    <w:rsid w:val="001B7346"/>
    <w:rsid w:val="001B7C67"/>
    <w:rsid w:val="001C0CED"/>
    <w:rsid w:val="001C1105"/>
    <w:rsid w:val="001C17C6"/>
    <w:rsid w:val="001C22DE"/>
    <w:rsid w:val="001C2425"/>
    <w:rsid w:val="001C3C4C"/>
    <w:rsid w:val="001C7F10"/>
    <w:rsid w:val="001D047B"/>
    <w:rsid w:val="001D1930"/>
    <w:rsid w:val="001D2914"/>
    <w:rsid w:val="001D2FB0"/>
    <w:rsid w:val="001D745B"/>
    <w:rsid w:val="001E0341"/>
    <w:rsid w:val="001E1C36"/>
    <w:rsid w:val="001E3D8C"/>
    <w:rsid w:val="001E43EF"/>
    <w:rsid w:val="001E44CD"/>
    <w:rsid w:val="001E6F40"/>
    <w:rsid w:val="001E7607"/>
    <w:rsid w:val="001F31F0"/>
    <w:rsid w:val="001F3DF5"/>
    <w:rsid w:val="001F4346"/>
    <w:rsid w:val="00201FFE"/>
    <w:rsid w:val="00202C4B"/>
    <w:rsid w:val="00203774"/>
    <w:rsid w:val="00203B88"/>
    <w:rsid w:val="00205321"/>
    <w:rsid w:val="00206380"/>
    <w:rsid w:val="00207F5F"/>
    <w:rsid w:val="002121C3"/>
    <w:rsid w:val="002155FA"/>
    <w:rsid w:val="002176DE"/>
    <w:rsid w:val="00220834"/>
    <w:rsid w:val="00223B64"/>
    <w:rsid w:val="0023029F"/>
    <w:rsid w:val="00231281"/>
    <w:rsid w:val="00231DC2"/>
    <w:rsid w:val="00232A02"/>
    <w:rsid w:val="002333B7"/>
    <w:rsid w:val="002344F2"/>
    <w:rsid w:val="002368E4"/>
    <w:rsid w:val="00236F8F"/>
    <w:rsid w:val="00241832"/>
    <w:rsid w:val="00244D42"/>
    <w:rsid w:val="00245149"/>
    <w:rsid w:val="00246FFA"/>
    <w:rsid w:val="00247076"/>
    <w:rsid w:val="00252B94"/>
    <w:rsid w:val="00255E19"/>
    <w:rsid w:val="0025653A"/>
    <w:rsid w:val="00256C2E"/>
    <w:rsid w:val="00257233"/>
    <w:rsid w:val="00257421"/>
    <w:rsid w:val="00260716"/>
    <w:rsid w:val="00260965"/>
    <w:rsid w:val="0026193E"/>
    <w:rsid w:val="00261A9C"/>
    <w:rsid w:val="00261E11"/>
    <w:rsid w:val="00262518"/>
    <w:rsid w:val="002655D4"/>
    <w:rsid w:val="00266CB2"/>
    <w:rsid w:val="00267D0B"/>
    <w:rsid w:val="00270A1C"/>
    <w:rsid w:val="002716E8"/>
    <w:rsid w:val="00271ED8"/>
    <w:rsid w:val="002724B9"/>
    <w:rsid w:val="002730ED"/>
    <w:rsid w:val="0027675D"/>
    <w:rsid w:val="00281718"/>
    <w:rsid w:val="002854AD"/>
    <w:rsid w:val="002855D0"/>
    <w:rsid w:val="00290E18"/>
    <w:rsid w:val="00291D54"/>
    <w:rsid w:val="00293A6E"/>
    <w:rsid w:val="00296302"/>
    <w:rsid w:val="00297A88"/>
    <w:rsid w:val="002A4840"/>
    <w:rsid w:val="002A66AB"/>
    <w:rsid w:val="002B24A3"/>
    <w:rsid w:val="002B2BBC"/>
    <w:rsid w:val="002B351B"/>
    <w:rsid w:val="002B3C48"/>
    <w:rsid w:val="002B434C"/>
    <w:rsid w:val="002B4F1D"/>
    <w:rsid w:val="002C0864"/>
    <w:rsid w:val="002C0F12"/>
    <w:rsid w:val="002C2723"/>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05CC"/>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9A8"/>
    <w:rsid w:val="00330B4E"/>
    <w:rsid w:val="0033176D"/>
    <w:rsid w:val="00331891"/>
    <w:rsid w:val="0033386B"/>
    <w:rsid w:val="00333D6C"/>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6C7D"/>
    <w:rsid w:val="003577BE"/>
    <w:rsid w:val="00362FCF"/>
    <w:rsid w:val="00363C85"/>
    <w:rsid w:val="003645A1"/>
    <w:rsid w:val="0036468F"/>
    <w:rsid w:val="00366993"/>
    <w:rsid w:val="0036770E"/>
    <w:rsid w:val="00370E0A"/>
    <w:rsid w:val="00371876"/>
    <w:rsid w:val="00372C00"/>
    <w:rsid w:val="003737D0"/>
    <w:rsid w:val="00373D4E"/>
    <w:rsid w:val="003754F5"/>
    <w:rsid w:val="00381829"/>
    <w:rsid w:val="00381B58"/>
    <w:rsid w:val="00382FAE"/>
    <w:rsid w:val="003832DC"/>
    <w:rsid w:val="00384541"/>
    <w:rsid w:val="00384550"/>
    <w:rsid w:val="00384A0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23B"/>
    <w:rsid w:val="003B132E"/>
    <w:rsid w:val="003B139B"/>
    <w:rsid w:val="003B3A50"/>
    <w:rsid w:val="003B448B"/>
    <w:rsid w:val="003B47C6"/>
    <w:rsid w:val="003B774C"/>
    <w:rsid w:val="003B79ED"/>
    <w:rsid w:val="003C3E62"/>
    <w:rsid w:val="003D01E0"/>
    <w:rsid w:val="003D0EF8"/>
    <w:rsid w:val="003D1455"/>
    <w:rsid w:val="003D2B72"/>
    <w:rsid w:val="003D42C7"/>
    <w:rsid w:val="003D5DFB"/>
    <w:rsid w:val="003D7765"/>
    <w:rsid w:val="003E1518"/>
    <w:rsid w:val="003E42F6"/>
    <w:rsid w:val="003E48E7"/>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3229"/>
    <w:rsid w:val="00413D6F"/>
    <w:rsid w:val="00414C20"/>
    <w:rsid w:val="00415023"/>
    <w:rsid w:val="004228A3"/>
    <w:rsid w:val="004229AC"/>
    <w:rsid w:val="00423D3B"/>
    <w:rsid w:val="004245A3"/>
    <w:rsid w:val="00424A48"/>
    <w:rsid w:val="004274EC"/>
    <w:rsid w:val="00427917"/>
    <w:rsid w:val="00436238"/>
    <w:rsid w:val="0043672A"/>
    <w:rsid w:val="00437EF1"/>
    <w:rsid w:val="00440412"/>
    <w:rsid w:val="00441EB5"/>
    <w:rsid w:val="0044341B"/>
    <w:rsid w:val="00443D84"/>
    <w:rsid w:val="00444A95"/>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0DEB"/>
    <w:rsid w:val="00482BBB"/>
    <w:rsid w:val="004841FA"/>
    <w:rsid w:val="00485114"/>
    <w:rsid w:val="00485AE4"/>
    <w:rsid w:val="00486111"/>
    <w:rsid w:val="00486720"/>
    <w:rsid w:val="0049176F"/>
    <w:rsid w:val="004918AD"/>
    <w:rsid w:val="00492EA5"/>
    <w:rsid w:val="00493247"/>
    <w:rsid w:val="004966BC"/>
    <w:rsid w:val="004A0053"/>
    <w:rsid w:val="004A2687"/>
    <w:rsid w:val="004A402F"/>
    <w:rsid w:val="004A54C0"/>
    <w:rsid w:val="004A7CAA"/>
    <w:rsid w:val="004B056D"/>
    <w:rsid w:val="004B12D7"/>
    <w:rsid w:val="004B2B05"/>
    <w:rsid w:val="004B2BBA"/>
    <w:rsid w:val="004B5502"/>
    <w:rsid w:val="004B71F4"/>
    <w:rsid w:val="004B74FE"/>
    <w:rsid w:val="004B76B6"/>
    <w:rsid w:val="004C0B5E"/>
    <w:rsid w:val="004C16C3"/>
    <w:rsid w:val="004C16F8"/>
    <w:rsid w:val="004C6366"/>
    <w:rsid w:val="004C63EE"/>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10CA"/>
    <w:rsid w:val="004F4675"/>
    <w:rsid w:val="004F557E"/>
    <w:rsid w:val="004F5BE1"/>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75E08"/>
    <w:rsid w:val="00585E04"/>
    <w:rsid w:val="005910DD"/>
    <w:rsid w:val="00591DDA"/>
    <w:rsid w:val="005940C1"/>
    <w:rsid w:val="0059566C"/>
    <w:rsid w:val="0059585E"/>
    <w:rsid w:val="005A0418"/>
    <w:rsid w:val="005A3156"/>
    <w:rsid w:val="005A53DF"/>
    <w:rsid w:val="005A6185"/>
    <w:rsid w:val="005B052E"/>
    <w:rsid w:val="005B220B"/>
    <w:rsid w:val="005B2E19"/>
    <w:rsid w:val="005B66D2"/>
    <w:rsid w:val="005B67EF"/>
    <w:rsid w:val="005B7842"/>
    <w:rsid w:val="005C1AC7"/>
    <w:rsid w:val="005C20A4"/>
    <w:rsid w:val="005C2356"/>
    <w:rsid w:val="005C4B1B"/>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5525"/>
    <w:rsid w:val="00616DFB"/>
    <w:rsid w:val="00617630"/>
    <w:rsid w:val="00617B27"/>
    <w:rsid w:val="00620346"/>
    <w:rsid w:val="0062074A"/>
    <w:rsid w:val="00621114"/>
    <w:rsid w:val="00621B01"/>
    <w:rsid w:val="00622516"/>
    <w:rsid w:val="00622C68"/>
    <w:rsid w:val="00623125"/>
    <w:rsid w:val="0062321A"/>
    <w:rsid w:val="006241EE"/>
    <w:rsid w:val="00626CB7"/>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0F82"/>
    <w:rsid w:val="0068365D"/>
    <w:rsid w:val="00684022"/>
    <w:rsid w:val="0068430C"/>
    <w:rsid w:val="00685237"/>
    <w:rsid w:val="00685541"/>
    <w:rsid w:val="006879E7"/>
    <w:rsid w:val="00690054"/>
    <w:rsid w:val="00690BB8"/>
    <w:rsid w:val="0069144C"/>
    <w:rsid w:val="0069161A"/>
    <w:rsid w:val="0069189C"/>
    <w:rsid w:val="00691E28"/>
    <w:rsid w:val="006954BD"/>
    <w:rsid w:val="006978B2"/>
    <w:rsid w:val="00697DD7"/>
    <w:rsid w:val="006A1D82"/>
    <w:rsid w:val="006A451F"/>
    <w:rsid w:val="006A67C2"/>
    <w:rsid w:val="006A6A31"/>
    <w:rsid w:val="006B091B"/>
    <w:rsid w:val="006B0BCD"/>
    <w:rsid w:val="006B0CBE"/>
    <w:rsid w:val="006B1969"/>
    <w:rsid w:val="006B2F1E"/>
    <w:rsid w:val="006B3DD7"/>
    <w:rsid w:val="006B48F1"/>
    <w:rsid w:val="006B6F57"/>
    <w:rsid w:val="006B75A6"/>
    <w:rsid w:val="006C20D8"/>
    <w:rsid w:val="006C2D21"/>
    <w:rsid w:val="006C60A2"/>
    <w:rsid w:val="006C6193"/>
    <w:rsid w:val="006D0533"/>
    <w:rsid w:val="006D436D"/>
    <w:rsid w:val="006D5430"/>
    <w:rsid w:val="006D63EF"/>
    <w:rsid w:val="006D7C19"/>
    <w:rsid w:val="006D7CA8"/>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31D1"/>
    <w:rsid w:val="007165B5"/>
    <w:rsid w:val="007165BE"/>
    <w:rsid w:val="007200FA"/>
    <w:rsid w:val="00723530"/>
    <w:rsid w:val="00724690"/>
    <w:rsid w:val="00725CC4"/>
    <w:rsid w:val="00726958"/>
    <w:rsid w:val="00727D4D"/>
    <w:rsid w:val="00731322"/>
    <w:rsid w:val="00731E30"/>
    <w:rsid w:val="00736826"/>
    <w:rsid w:val="00736CDD"/>
    <w:rsid w:val="00736FEF"/>
    <w:rsid w:val="00737516"/>
    <w:rsid w:val="0074088F"/>
    <w:rsid w:val="00741230"/>
    <w:rsid w:val="0074310F"/>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D32"/>
    <w:rsid w:val="007705A1"/>
    <w:rsid w:val="00770F43"/>
    <w:rsid w:val="00771468"/>
    <w:rsid w:val="007719AC"/>
    <w:rsid w:val="00773686"/>
    <w:rsid w:val="00776A65"/>
    <w:rsid w:val="00776AD0"/>
    <w:rsid w:val="00780871"/>
    <w:rsid w:val="0078131F"/>
    <w:rsid w:val="00786DD7"/>
    <w:rsid w:val="00787A57"/>
    <w:rsid w:val="00787B7D"/>
    <w:rsid w:val="00790441"/>
    <w:rsid w:val="00792A3E"/>
    <w:rsid w:val="00792D48"/>
    <w:rsid w:val="00793203"/>
    <w:rsid w:val="007933D2"/>
    <w:rsid w:val="007938C0"/>
    <w:rsid w:val="00794677"/>
    <w:rsid w:val="00794F13"/>
    <w:rsid w:val="00795931"/>
    <w:rsid w:val="00796A2A"/>
    <w:rsid w:val="007A0277"/>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6EC6"/>
    <w:rsid w:val="0080728E"/>
    <w:rsid w:val="00811A11"/>
    <w:rsid w:val="00812603"/>
    <w:rsid w:val="00814945"/>
    <w:rsid w:val="00814985"/>
    <w:rsid w:val="008160BF"/>
    <w:rsid w:val="00816F96"/>
    <w:rsid w:val="008170EC"/>
    <w:rsid w:val="008175D4"/>
    <w:rsid w:val="00823AF8"/>
    <w:rsid w:val="00824F00"/>
    <w:rsid w:val="00825004"/>
    <w:rsid w:val="008267CB"/>
    <w:rsid w:val="00827512"/>
    <w:rsid w:val="008343B2"/>
    <w:rsid w:val="00834571"/>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64E0B"/>
    <w:rsid w:val="00866673"/>
    <w:rsid w:val="008702BF"/>
    <w:rsid w:val="008711B4"/>
    <w:rsid w:val="008719DB"/>
    <w:rsid w:val="00872250"/>
    <w:rsid w:val="00873167"/>
    <w:rsid w:val="008731B8"/>
    <w:rsid w:val="00873D16"/>
    <w:rsid w:val="008768D2"/>
    <w:rsid w:val="00880F6C"/>
    <w:rsid w:val="008855E2"/>
    <w:rsid w:val="00885E69"/>
    <w:rsid w:val="00886047"/>
    <w:rsid w:val="00886521"/>
    <w:rsid w:val="00887800"/>
    <w:rsid w:val="00887F76"/>
    <w:rsid w:val="00891E7C"/>
    <w:rsid w:val="00891E8C"/>
    <w:rsid w:val="008937A3"/>
    <w:rsid w:val="0089509A"/>
    <w:rsid w:val="00896FB8"/>
    <w:rsid w:val="008A0087"/>
    <w:rsid w:val="008A4FE1"/>
    <w:rsid w:val="008A5E28"/>
    <w:rsid w:val="008A7884"/>
    <w:rsid w:val="008B0715"/>
    <w:rsid w:val="008B302A"/>
    <w:rsid w:val="008B4198"/>
    <w:rsid w:val="008B4609"/>
    <w:rsid w:val="008B725C"/>
    <w:rsid w:val="008C1D6D"/>
    <w:rsid w:val="008C3F98"/>
    <w:rsid w:val="008C4684"/>
    <w:rsid w:val="008C594A"/>
    <w:rsid w:val="008C5C15"/>
    <w:rsid w:val="008D02F9"/>
    <w:rsid w:val="008D1DAC"/>
    <w:rsid w:val="008D23AF"/>
    <w:rsid w:val="008D3A05"/>
    <w:rsid w:val="008D3E0C"/>
    <w:rsid w:val="008D4234"/>
    <w:rsid w:val="008D681A"/>
    <w:rsid w:val="008D6B1A"/>
    <w:rsid w:val="008D6D38"/>
    <w:rsid w:val="008E0617"/>
    <w:rsid w:val="008E0985"/>
    <w:rsid w:val="008E1C51"/>
    <w:rsid w:val="008E5B71"/>
    <w:rsid w:val="008E705E"/>
    <w:rsid w:val="008E74B4"/>
    <w:rsid w:val="008F2453"/>
    <w:rsid w:val="008F34E9"/>
    <w:rsid w:val="00902833"/>
    <w:rsid w:val="009039E2"/>
    <w:rsid w:val="009107DE"/>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30B"/>
    <w:rsid w:val="009578D1"/>
    <w:rsid w:val="00957A33"/>
    <w:rsid w:val="0096003B"/>
    <w:rsid w:val="0096081E"/>
    <w:rsid w:val="00960AD9"/>
    <w:rsid w:val="00960F8E"/>
    <w:rsid w:val="0096137E"/>
    <w:rsid w:val="00961C60"/>
    <w:rsid w:val="00961E92"/>
    <w:rsid w:val="009647C5"/>
    <w:rsid w:val="0096604F"/>
    <w:rsid w:val="00966280"/>
    <w:rsid w:val="009663C5"/>
    <w:rsid w:val="00966709"/>
    <w:rsid w:val="00971DDC"/>
    <w:rsid w:val="009755AD"/>
    <w:rsid w:val="009757E0"/>
    <w:rsid w:val="00976D9D"/>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32AC"/>
    <w:rsid w:val="009A405A"/>
    <w:rsid w:val="009A5082"/>
    <w:rsid w:val="009A618E"/>
    <w:rsid w:val="009B155B"/>
    <w:rsid w:val="009B183F"/>
    <w:rsid w:val="009B1BDC"/>
    <w:rsid w:val="009B1F5B"/>
    <w:rsid w:val="009B3DB8"/>
    <w:rsid w:val="009B4769"/>
    <w:rsid w:val="009C2086"/>
    <w:rsid w:val="009C3006"/>
    <w:rsid w:val="009C7D32"/>
    <w:rsid w:val="009D159F"/>
    <w:rsid w:val="009D2A16"/>
    <w:rsid w:val="009D2EA0"/>
    <w:rsid w:val="009D435C"/>
    <w:rsid w:val="009D4DB6"/>
    <w:rsid w:val="009D61F9"/>
    <w:rsid w:val="009D685C"/>
    <w:rsid w:val="009D6952"/>
    <w:rsid w:val="009D7F9A"/>
    <w:rsid w:val="009E068F"/>
    <w:rsid w:val="009E1B89"/>
    <w:rsid w:val="009E619C"/>
    <w:rsid w:val="009E7020"/>
    <w:rsid w:val="009E7045"/>
    <w:rsid w:val="009E748B"/>
    <w:rsid w:val="009F2244"/>
    <w:rsid w:val="009F3D12"/>
    <w:rsid w:val="009F51E2"/>
    <w:rsid w:val="00A0017C"/>
    <w:rsid w:val="00A03D3F"/>
    <w:rsid w:val="00A04BEB"/>
    <w:rsid w:val="00A04DE2"/>
    <w:rsid w:val="00A06515"/>
    <w:rsid w:val="00A10019"/>
    <w:rsid w:val="00A10FE1"/>
    <w:rsid w:val="00A11A20"/>
    <w:rsid w:val="00A11DFB"/>
    <w:rsid w:val="00A11F1E"/>
    <w:rsid w:val="00A14BA5"/>
    <w:rsid w:val="00A15C80"/>
    <w:rsid w:val="00A15DA4"/>
    <w:rsid w:val="00A16709"/>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4BE1"/>
    <w:rsid w:val="00A4500D"/>
    <w:rsid w:val="00A504A8"/>
    <w:rsid w:val="00A529EC"/>
    <w:rsid w:val="00A53DD7"/>
    <w:rsid w:val="00A542B8"/>
    <w:rsid w:val="00A54719"/>
    <w:rsid w:val="00A5576E"/>
    <w:rsid w:val="00A5709E"/>
    <w:rsid w:val="00A612B9"/>
    <w:rsid w:val="00A61535"/>
    <w:rsid w:val="00A665FB"/>
    <w:rsid w:val="00A66B14"/>
    <w:rsid w:val="00A66CF8"/>
    <w:rsid w:val="00A71C52"/>
    <w:rsid w:val="00A727DA"/>
    <w:rsid w:val="00A73251"/>
    <w:rsid w:val="00A74F48"/>
    <w:rsid w:val="00A756EC"/>
    <w:rsid w:val="00A815A9"/>
    <w:rsid w:val="00A81A3A"/>
    <w:rsid w:val="00A83745"/>
    <w:rsid w:val="00A83E6C"/>
    <w:rsid w:val="00A84D8D"/>
    <w:rsid w:val="00A854F8"/>
    <w:rsid w:val="00A900AE"/>
    <w:rsid w:val="00A91A91"/>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B5AD6"/>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0E2"/>
    <w:rsid w:val="00B1189C"/>
    <w:rsid w:val="00B12666"/>
    <w:rsid w:val="00B126DA"/>
    <w:rsid w:val="00B1296D"/>
    <w:rsid w:val="00B15903"/>
    <w:rsid w:val="00B166C8"/>
    <w:rsid w:val="00B23604"/>
    <w:rsid w:val="00B243E6"/>
    <w:rsid w:val="00B24C41"/>
    <w:rsid w:val="00B2566A"/>
    <w:rsid w:val="00B2704A"/>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15E7"/>
    <w:rsid w:val="00B65BF6"/>
    <w:rsid w:val="00B670CE"/>
    <w:rsid w:val="00B67B79"/>
    <w:rsid w:val="00B67E74"/>
    <w:rsid w:val="00B716F8"/>
    <w:rsid w:val="00B82234"/>
    <w:rsid w:val="00B8229B"/>
    <w:rsid w:val="00B8283E"/>
    <w:rsid w:val="00B837AA"/>
    <w:rsid w:val="00B84105"/>
    <w:rsid w:val="00B85E06"/>
    <w:rsid w:val="00B87D03"/>
    <w:rsid w:val="00B87F88"/>
    <w:rsid w:val="00B909E8"/>
    <w:rsid w:val="00B928EE"/>
    <w:rsid w:val="00B92AD5"/>
    <w:rsid w:val="00B94BA4"/>
    <w:rsid w:val="00B96A00"/>
    <w:rsid w:val="00B97DB5"/>
    <w:rsid w:val="00BA103C"/>
    <w:rsid w:val="00BA40DC"/>
    <w:rsid w:val="00BA4739"/>
    <w:rsid w:val="00BA6A67"/>
    <w:rsid w:val="00BB156E"/>
    <w:rsid w:val="00BB3ABA"/>
    <w:rsid w:val="00BB4FEC"/>
    <w:rsid w:val="00BB65B1"/>
    <w:rsid w:val="00BB69D5"/>
    <w:rsid w:val="00BC03E1"/>
    <w:rsid w:val="00BC1D7D"/>
    <w:rsid w:val="00BC4593"/>
    <w:rsid w:val="00BC637D"/>
    <w:rsid w:val="00BD05BF"/>
    <w:rsid w:val="00BD3B45"/>
    <w:rsid w:val="00BD464A"/>
    <w:rsid w:val="00BD51C8"/>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6052"/>
    <w:rsid w:val="00C11D21"/>
    <w:rsid w:val="00C11EFC"/>
    <w:rsid w:val="00C1675F"/>
    <w:rsid w:val="00C172FB"/>
    <w:rsid w:val="00C21F2D"/>
    <w:rsid w:val="00C231C4"/>
    <w:rsid w:val="00C23439"/>
    <w:rsid w:val="00C2440F"/>
    <w:rsid w:val="00C27213"/>
    <w:rsid w:val="00C278C2"/>
    <w:rsid w:val="00C32425"/>
    <w:rsid w:val="00C33DEA"/>
    <w:rsid w:val="00C340C6"/>
    <w:rsid w:val="00C343FB"/>
    <w:rsid w:val="00C353D0"/>
    <w:rsid w:val="00C35AE1"/>
    <w:rsid w:val="00C363FA"/>
    <w:rsid w:val="00C3797F"/>
    <w:rsid w:val="00C41E55"/>
    <w:rsid w:val="00C43809"/>
    <w:rsid w:val="00C45167"/>
    <w:rsid w:val="00C45E45"/>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67CAE"/>
    <w:rsid w:val="00C70488"/>
    <w:rsid w:val="00C72471"/>
    <w:rsid w:val="00C72B4C"/>
    <w:rsid w:val="00C76035"/>
    <w:rsid w:val="00C8086B"/>
    <w:rsid w:val="00C82D97"/>
    <w:rsid w:val="00C84D14"/>
    <w:rsid w:val="00C91C45"/>
    <w:rsid w:val="00C9369C"/>
    <w:rsid w:val="00C93EDD"/>
    <w:rsid w:val="00C953EF"/>
    <w:rsid w:val="00C953F6"/>
    <w:rsid w:val="00C95C07"/>
    <w:rsid w:val="00C97FD3"/>
    <w:rsid w:val="00CA0363"/>
    <w:rsid w:val="00CA06A4"/>
    <w:rsid w:val="00CA501F"/>
    <w:rsid w:val="00CA59FA"/>
    <w:rsid w:val="00CA5D6F"/>
    <w:rsid w:val="00CA61CF"/>
    <w:rsid w:val="00CA6256"/>
    <w:rsid w:val="00CB1749"/>
    <w:rsid w:val="00CB3A9F"/>
    <w:rsid w:val="00CB5048"/>
    <w:rsid w:val="00CC10DA"/>
    <w:rsid w:val="00CC156D"/>
    <w:rsid w:val="00CC58C3"/>
    <w:rsid w:val="00CD1B00"/>
    <w:rsid w:val="00CD229F"/>
    <w:rsid w:val="00CD4B35"/>
    <w:rsid w:val="00CD5A36"/>
    <w:rsid w:val="00CE2C66"/>
    <w:rsid w:val="00CE2D1F"/>
    <w:rsid w:val="00CE2DC8"/>
    <w:rsid w:val="00CE3AFC"/>
    <w:rsid w:val="00CE52F0"/>
    <w:rsid w:val="00CE6824"/>
    <w:rsid w:val="00CF0C0B"/>
    <w:rsid w:val="00CF18A3"/>
    <w:rsid w:val="00CF356A"/>
    <w:rsid w:val="00CF4A61"/>
    <w:rsid w:val="00D029CB"/>
    <w:rsid w:val="00D04274"/>
    <w:rsid w:val="00D05A8B"/>
    <w:rsid w:val="00D06659"/>
    <w:rsid w:val="00D0699D"/>
    <w:rsid w:val="00D076EF"/>
    <w:rsid w:val="00D1447E"/>
    <w:rsid w:val="00D164B7"/>
    <w:rsid w:val="00D16D47"/>
    <w:rsid w:val="00D1747A"/>
    <w:rsid w:val="00D205D0"/>
    <w:rsid w:val="00D21306"/>
    <w:rsid w:val="00D2151A"/>
    <w:rsid w:val="00D22151"/>
    <w:rsid w:val="00D22A2E"/>
    <w:rsid w:val="00D240AB"/>
    <w:rsid w:val="00D25CA2"/>
    <w:rsid w:val="00D26BCB"/>
    <w:rsid w:val="00D26CC6"/>
    <w:rsid w:val="00D275C6"/>
    <w:rsid w:val="00D27639"/>
    <w:rsid w:val="00D330DC"/>
    <w:rsid w:val="00D369E4"/>
    <w:rsid w:val="00D373FD"/>
    <w:rsid w:val="00D41A51"/>
    <w:rsid w:val="00D42DFD"/>
    <w:rsid w:val="00D45E14"/>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05F1"/>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3BA1"/>
    <w:rsid w:val="00DF4CBC"/>
    <w:rsid w:val="00DF5370"/>
    <w:rsid w:val="00E0032E"/>
    <w:rsid w:val="00E0074D"/>
    <w:rsid w:val="00E0205D"/>
    <w:rsid w:val="00E03BE1"/>
    <w:rsid w:val="00E048C6"/>
    <w:rsid w:val="00E0737F"/>
    <w:rsid w:val="00E1018A"/>
    <w:rsid w:val="00E120F4"/>
    <w:rsid w:val="00E121B5"/>
    <w:rsid w:val="00E153F6"/>
    <w:rsid w:val="00E15F7E"/>
    <w:rsid w:val="00E173DF"/>
    <w:rsid w:val="00E20FF7"/>
    <w:rsid w:val="00E24866"/>
    <w:rsid w:val="00E27FC2"/>
    <w:rsid w:val="00E31912"/>
    <w:rsid w:val="00E31B60"/>
    <w:rsid w:val="00E31D33"/>
    <w:rsid w:val="00E3211D"/>
    <w:rsid w:val="00E34D88"/>
    <w:rsid w:val="00E353DB"/>
    <w:rsid w:val="00E36375"/>
    <w:rsid w:val="00E40D48"/>
    <w:rsid w:val="00E40DBF"/>
    <w:rsid w:val="00E42C98"/>
    <w:rsid w:val="00E43798"/>
    <w:rsid w:val="00E43842"/>
    <w:rsid w:val="00E468CA"/>
    <w:rsid w:val="00E473B4"/>
    <w:rsid w:val="00E47CAE"/>
    <w:rsid w:val="00E47D3F"/>
    <w:rsid w:val="00E521EE"/>
    <w:rsid w:val="00E55F53"/>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9113F"/>
    <w:rsid w:val="00E92404"/>
    <w:rsid w:val="00E94246"/>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2FF"/>
    <w:rsid w:val="00F01A21"/>
    <w:rsid w:val="00F046E9"/>
    <w:rsid w:val="00F04831"/>
    <w:rsid w:val="00F12DA8"/>
    <w:rsid w:val="00F12E0E"/>
    <w:rsid w:val="00F1322B"/>
    <w:rsid w:val="00F13699"/>
    <w:rsid w:val="00F16AB3"/>
    <w:rsid w:val="00F22399"/>
    <w:rsid w:val="00F23D88"/>
    <w:rsid w:val="00F241E7"/>
    <w:rsid w:val="00F25BEF"/>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E7A"/>
    <w:rsid w:val="00F42F39"/>
    <w:rsid w:val="00F4307A"/>
    <w:rsid w:val="00F43D26"/>
    <w:rsid w:val="00F46B8B"/>
    <w:rsid w:val="00F47660"/>
    <w:rsid w:val="00F507DB"/>
    <w:rsid w:val="00F5236F"/>
    <w:rsid w:val="00F52C7A"/>
    <w:rsid w:val="00F544AB"/>
    <w:rsid w:val="00F5545B"/>
    <w:rsid w:val="00F55EB0"/>
    <w:rsid w:val="00F5653F"/>
    <w:rsid w:val="00F56A1B"/>
    <w:rsid w:val="00F6079F"/>
    <w:rsid w:val="00F61F8D"/>
    <w:rsid w:val="00F64EA5"/>
    <w:rsid w:val="00F66A3D"/>
    <w:rsid w:val="00F66DF3"/>
    <w:rsid w:val="00F67115"/>
    <w:rsid w:val="00F67AB2"/>
    <w:rsid w:val="00F73D21"/>
    <w:rsid w:val="00F74ED0"/>
    <w:rsid w:val="00F759D4"/>
    <w:rsid w:val="00F75B44"/>
    <w:rsid w:val="00F832DB"/>
    <w:rsid w:val="00F83593"/>
    <w:rsid w:val="00F837F7"/>
    <w:rsid w:val="00F854ED"/>
    <w:rsid w:val="00F90E30"/>
    <w:rsid w:val="00F917E4"/>
    <w:rsid w:val="00F91B00"/>
    <w:rsid w:val="00F92751"/>
    <w:rsid w:val="00F9424D"/>
    <w:rsid w:val="00F94D96"/>
    <w:rsid w:val="00F94DFC"/>
    <w:rsid w:val="00F96BAD"/>
    <w:rsid w:val="00F971E1"/>
    <w:rsid w:val="00FA34B5"/>
    <w:rsid w:val="00FA608C"/>
    <w:rsid w:val="00FB0158"/>
    <w:rsid w:val="00FB06CF"/>
    <w:rsid w:val="00FB16BC"/>
    <w:rsid w:val="00FB25A0"/>
    <w:rsid w:val="00FB2B68"/>
    <w:rsid w:val="00FB2D7C"/>
    <w:rsid w:val="00FB4F37"/>
    <w:rsid w:val="00FB79F1"/>
    <w:rsid w:val="00FB7E5A"/>
    <w:rsid w:val="00FC316F"/>
    <w:rsid w:val="00FC38FF"/>
    <w:rsid w:val="00FC48F5"/>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B76E5"/>
    <w:rsid w:val="01100128"/>
    <w:rsid w:val="01136FD2"/>
    <w:rsid w:val="01163216"/>
    <w:rsid w:val="011A3AD5"/>
    <w:rsid w:val="011B7346"/>
    <w:rsid w:val="01243CBE"/>
    <w:rsid w:val="01316156"/>
    <w:rsid w:val="01354FA7"/>
    <w:rsid w:val="01392B1D"/>
    <w:rsid w:val="01427510"/>
    <w:rsid w:val="014D5FC8"/>
    <w:rsid w:val="015C7570"/>
    <w:rsid w:val="015E7543"/>
    <w:rsid w:val="016731E8"/>
    <w:rsid w:val="01724323"/>
    <w:rsid w:val="019D4B3D"/>
    <w:rsid w:val="019F0207"/>
    <w:rsid w:val="01A02944"/>
    <w:rsid w:val="01A87132"/>
    <w:rsid w:val="01B354EB"/>
    <w:rsid w:val="01B409B2"/>
    <w:rsid w:val="01B73CC3"/>
    <w:rsid w:val="01D02B7A"/>
    <w:rsid w:val="01D857EB"/>
    <w:rsid w:val="01DF6FE0"/>
    <w:rsid w:val="01E05D9F"/>
    <w:rsid w:val="01E2625D"/>
    <w:rsid w:val="01E4753D"/>
    <w:rsid w:val="01E6243E"/>
    <w:rsid w:val="01F6071A"/>
    <w:rsid w:val="02094915"/>
    <w:rsid w:val="020D3519"/>
    <w:rsid w:val="02102D34"/>
    <w:rsid w:val="02105BCC"/>
    <w:rsid w:val="0213188C"/>
    <w:rsid w:val="021D6397"/>
    <w:rsid w:val="02345B88"/>
    <w:rsid w:val="02402B3C"/>
    <w:rsid w:val="02437D3E"/>
    <w:rsid w:val="024B45DB"/>
    <w:rsid w:val="024C23E5"/>
    <w:rsid w:val="02523498"/>
    <w:rsid w:val="02746E99"/>
    <w:rsid w:val="02793CF5"/>
    <w:rsid w:val="0279714A"/>
    <w:rsid w:val="027F11AC"/>
    <w:rsid w:val="028470E8"/>
    <w:rsid w:val="028A6146"/>
    <w:rsid w:val="028E3AD6"/>
    <w:rsid w:val="02B219C0"/>
    <w:rsid w:val="02C27DEA"/>
    <w:rsid w:val="02C57546"/>
    <w:rsid w:val="02CC59A0"/>
    <w:rsid w:val="02D041B3"/>
    <w:rsid w:val="02DA6AD4"/>
    <w:rsid w:val="02E37F5B"/>
    <w:rsid w:val="02EB2A7B"/>
    <w:rsid w:val="02EC1675"/>
    <w:rsid w:val="02F23433"/>
    <w:rsid w:val="02F77E33"/>
    <w:rsid w:val="03025708"/>
    <w:rsid w:val="030707A6"/>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D5CE7"/>
    <w:rsid w:val="047E4A8F"/>
    <w:rsid w:val="04865192"/>
    <w:rsid w:val="04866606"/>
    <w:rsid w:val="048E11A9"/>
    <w:rsid w:val="0496225D"/>
    <w:rsid w:val="04974A16"/>
    <w:rsid w:val="049D670D"/>
    <w:rsid w:val="049F212F"/>
    <w:rsid w:val="04AA0003"/>
    <w:rsid w:val="04AC1919"/>
    <w:rsid w:val="04AC41F8"/>
    <w:rsid w:val="04C17AAF"/>
    <w:rsid w:val="04CD6E72"/>
    <w:rsid w:val="04D7059C"/>
    <w:rsid w:val="04D74EBA"/>
    <w:rsid w:val="04DA12DF"/>
    <w:rsid w:val="04EC7AAB"/>
    <w:rsid w:val="04F512AE"/>
    <w:rsid w:val="04F5365E"/>
    <w:rsid w:val="05044386"/>
    <w:rsid w:val="052630A3"/>
    <w:rsid w:val="0536681D"/>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C0FF7"/>
    <w:rsid w:val="067C15DA"/>
    <w:rsid w:val="06851269"/>
    <w:rsid w:val="06860951"/>
    <w:rsid w:val="068958F2"/>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86160"/>
    <w:rsid w:val="075D32E6"/>
    <w:rsid w:val="07704988"/>
    <w:rsid w:val="07775672"/>
    <w:rsid w:val="077B0085"/>
    <w:rsid w:val="077B2D67"/>
    <w:rsid w:val="07847096"/>
    <w:rsid w:val="078C637B"/>
    <w:rsid w:val="079005D5"/>
    <w:rsid w:val="07905FEB"/>
    <w:rsid w:val="07931D88"/>
    <w:rsid w:val="07CE2E21"/>
    <w:rsid w:val="07D029D5"/>
    <w:rsid w:val="07D37F63"/>
    <w:rsid w:val="07D74616"/>
    <w:rsid w:val="07D74975"/>
    <w:rsid w:val="07DE52F0"/>
    <w:rsid w:val="07E53D87"/>
    <w:rsid w:val="07EF7EE5"/>
    <w:rsid w:val="07F06D75"/>
    <w:rsid w:val="08141163"/>
    <w:rsid w:val="08242518"/>
    <w:rsid w:val="08290E07"/>
    <w:rsid w:val="083A7B9E"/>
    <w:rsid w:val="084C76BB"/>
    <w:rsid w:val="08513832"/>
    <w:rsid w:val="085337D7"/>
    <w:rsid w:val="085E2B02"/>
    <w:rsid w:val="08662E4E"/>
    <w:rsid w:val="087913CA"/>
    <w:rsid w:val="087A3407"/>
    <w:rsid w:val="087E5F70"/>
    <w:rsid w:val="0886083E"/>
    <w:rsid w:val="088B5031"/>
    <w:rsid w:val="088F268A"/>
    <w:rsid w:val="089C68F2"/>
    <w:rsid w:val="08A95408"/>
    <w:rsid w:val="08AF5CA8"/>
    <w:rsid w:val="08B151BF"/>
    <w:rsid w:val="08B22719"/>
    <w:rsid w:val="08B51BA5"/>
    <w:rsid w:val="08BE5416"/>
    <w:rsid w:val="08C85AD5"/>
    <w:rsid w:val="08D82186"/>
    <w:rsid w:val="08F979A1"/>
    <w:rsid w:val="09060066"/>
    <w:rsid w:val="090706DC"/>
    <w:rsid w:val="091C75B4"/>
    <w:rsid w:val="091F1E33"/>
    <w:rsid w:val="0926712F"/>
    <w:rsid w:val="09390DB4"/>
    <w:rsid w:val="093F645D"/>
    <w:rsid w:val="094F44E3"/>
    <w:rsid w:val="096275FE"/>
    <w:rsid w:val="09686427"/>
    <w:rsid w:val="09705132"/>
    <w:rsid w:val="097A01A0"/>
    <w:rsid w:val="09807390"/>
    <w:rsid w:val="098C23B7"/>
    <w:rsid w:val="09993E4C"/>
    <w:rsid w:val="099E733A"/>
    <w:rsid w:val="09A2202C"/>
    <w:rsid w:val="09A313A7"/>
    <w:rsid w:val="09A77C9A"/>
    <w:rsid w:val="09AA2ACA"/>
    <w:rsid w:val="09B44806"/>
    <w:rsid w:val="09B44883"/>
    <w:rsid w:val="09B45AED"/>
    <w:rsid w:val="09C0148B"/>
    <w:rsid w:val="09C270D8"/>
    <w:rsid w:val="09C96345"/>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8E25F8"/>
    <w:rsid w:val="0A9541D2"/>
    <w:rsid w:val="0AA77F22"/>
    <w:rsid w:val="0AAE3FA8"/>
    <w:rsid w:val="0AB51416"/>
    <w:rsid w:val="0AC3564D"/>
    <w:rsid w:val="0AD647A5"/>
    <w:rsid w:val="0B09024B"/>
    <w:rsid w:val="0B123018"/>
    <w:rsid w:val="0B132984"/>
    <w:rsid w:val="0B231145"/>
    <w:rsid w:val="0B24396B"/>
    <w:rsid w:val="0B265E4E"/>
    <w:rsid w:val="0B292ADD"/>
    <w:rsid w:val="0B3760B4"/>
    <w:rsid w:val="0B3C0C94"/>
    <w:rsid w:val="0B3E0CEC"/>
    <w:rsid w:val="0B49197F"/>
    <w:rsid w:val="0B49387C"/>
    <w:rsid w:val="0B517A43"/>
    <w:rsid w:val="0B560B94"/>
    <w:rsid w:val="0B5B432B"/>
    <w:rsid w:val="0B6058A7"/>
    <w:rsid w:val="0B704389"/>
    <w:rsid w:val="0B757FBB"/>
    <w:rsid w:val="0B8311F4"/>
    <w:rsid w:val="0B8B13F4"/>
    <w:rsid w:val="0B8C4AF7"/>
    <w:rsid w:val="0B934CA5"/>
    <w:rsid w:val="0B94771A"/>
    <w:rsid w:val="0B9D4D53"/>
    <w:rsid w:val="0BA072B6"/>
    <w:rsid w:val="0BA3062A"/>
    <w:rsid w:val="0BA954C4"/>
    <w:rsid w:val="0BB25843"/>
    <w:rsid w:val="0BB729F6"/>
    <w:rsid w:val="0BC77705"/>
    <w:rsid w:val="0BE004CF"/>
    <w:rsid w:val="0BE120C4"/>
    <w:rsid w:val="0BE57B4E"/>
    <w:rsid w:val="0BEB0B21"/>
    <w:rsid w:val="0BF83F28"/>
    <w:rsid w:val="0C0511F2"/>
    <w:rsid w:val="0C074871"/>
    <w:rsid w:val="0C284481"/>
    <w:rsid w:val="0C3255F2"/>
    <w:rsid w:val="0C355818"/>
    <w:rsid w:val="0C37777C"/>
    <w:rsid w:val="0C4057C9"/>
    <w:rsid w:val="0C424878"/>
    <w:rsid w:val="0C635DBE"/>
    <w:rsid w:val="0C755CB5"/>
    <w:rsid w:val="0C773520"/>
    <w:rsid w:val="0C7E353C"/>
    <w:rsid w:val="0C807D71"/>
    <w:rsid w:val="0C8B0E25"/>
    <w:rsid w:val="0C95753B"/>
    <w:rsid w:val="0C9E5020"/>
    <w:rsid w:val="0CA33EBA"/>
    <w:rsid w:val="0CA95178"/>
    <w:rsid w:val="0CB04A70"/>
    <w:rsid w:val="0CC529AD"/>
    <w:rsid w:val="0CCC596D"/>
    <w:rsid w:val="0CD315EB"/>
    <w:rsid w:val="0CDA4181"/>
    <w:rsid w:val="0CE46F4E"/>
    <w:rsid w:val="0CED21A0"/>
    <w:rsid w:val="0CF41647"/>
    <w:rsid w:val="0CFF1F19"/>
    <w:rsid w:val="0D064EBC"/>
    <w:rsid w:val="0D225767"/>
    <w:rsid w:val="0D2B1FFC"/>
    <w:rsid w:val="0D346C04"/>
    <w:rsid w:val="0D387415"/>
    <w:rsid w:val="0D474503"/>
    <w:rsid w:val="0D551567"/>
    <w:rsid w:val="0D555505"/>
    <w:rsid w:val="0D5D0752"/>
    <w:rsid w:val="0D5E7F80"/>
    <w:rsid w:val="0D602213"/>
    <w:rsid w:val="0D6D5EE7"/>
    <w:rsid w:val="0D791AD7"/>
    <w:rsid w:val="0D7A3592"/>
    <w:rsid w:val="0D854A00"/>
    <w:rsid w:val="0D94360A"/>
    <w:rsid w:val="0DA74C71"/>
    <w:rsid w:val="0DB63E92"/>
    <w:rsid w:val="0DC0393B"/>
    <w:rsid w:val="0DC43254"/>
    <w:rsid w:val="0DC4433C"/>
    <w:rsid w:val="0DCD2C1C"/>
    <w:rsid w:val="0DE42847"/>
    <w:rsid w:val="0DE67218"/>
    <w:rsid w:val="0E06150F"/>
    <w:rsid w:val="0E092132"/>
    <w:rsid w:val="0E0A21A9"/>
    <w:rsid w:val="0E113293"/>
    <w:rsid w:val="0E134E83"/>
    <w:rsid w:val="0E17220C"/>
    <w:rsid w:val="0E26107A"/>
    <w:rsid w:val="0E2C61C1"/>
    <w:rsid w:val="0E3A207D"/>
    <w:rsid w:val="0E3A20D3"/>
    <w:rsid w:val="0E4F3F26"/>
    <w:rsid w:val="0E5E7524"/>
    <w:rsid w:val="0E734461"/>
    <w:rsid w:val="0E927861"/>
    <w:rsid w:val="0EA04D7B"/>
    <w:rsid w:val="0EA4482A"/>
    <w:rsid w:val="0EA926E0"/>
    <w:rsid w:val="0EB467CA"/>
    <w:rsid w:val="0EC132D7"/>
    <w:rsid w:val="0EC572E7"/>
    <w:rsid w:val="0ECD33DF"/>
    <w:rsid w:val="0ED91FFE"/>
    <w:rsid w:val="0EDC3297"/>
    <w:rsid w:val="0EE22D51"/>
    <w:rsid w:val="0EE700B0"/>
    <w:rsid w:val="0EE71B21"/>
    <w:rsid w:val="0EF402E3"/>
    <w:rsid w:val="0F0939B9"/>
    <w:rsid w:val="0F0E6CDB"/>
    <w:rsid w:val="0F2C5554"/>
    <w:rsid w:val="0F2D4AE2"/>
    <w:rsid w:val="0F4143CE"/>
    <w:rsid w:val="0F4340EF"/>
    <w:rsid w:val="0F4F182E"/>
    <w:rsid w:val="0F545B29"/>
    <w:rsid w:val="0F570EB4"/>
    <w:rsid w:val="0F5908C8"/>
    <w:rsid w:val="0F59104A"/>
    <w:rsid w:val="0F5B070A"/>
    <w:rsid w:val="0F5F1287"/>
    <w:rsid w:val="0F685729"/>
    <w:rsid w:val="0F6A6BC7"/>
    <w:rsid w:val="0F70152C"/>
    <w:rsid w:val="0F771FDC"/>
    <w:rsid w:val="0F787C58"/>
    <w:rsid w:val="0F8228D1"/>
    <w:rsid w:val="0F8C02E9"/>
    <w:rsid w:val="0F8F58E3"/>
    <w:rsid w:val="0F8F7413"/>
    <w:rsid w:val="0F922838"/>
    <w:rsid w:val="0FB27D04"/>
    <w:rsid w:val="0FB916A9"/>
    <w:rsid w:val="0FC30428"/>
    <w:rsid w:val="0FD531D3"/>
    <w:rsid w:val="0FD92425"/>
    <w:rsid w:val="0FDB1049"/>
    <w:rsid w:val="0FDD1017"/>
    <w:rsid w:val="0FE322F6"/>
    <w:rsid w:val="0FEE6AC8"/>
    <w:rsid w:val="0FF8213F"/>
    <w:rsid w:val="10120544"/>
    <w:rsid w:val="10133D23"/>
    <w:rsid w:val="10134314"/>
    <w:rsid w:val="101F79B1"/>
    <w:rsid w:val="102C5093"/>
    <w:rsid w:val="102F5257"/>
    <w:rsid w:val="10311F98"/>
    <w:rsid w:val="103E22B2"/>
    <w:rsid w:val="106E070C"/>
    <w:rsid w:val="107550E9"/>
    <w:rsid w:val="107B67FE"/>
    <w:rsid w:val="10836400"/>
    <w:rsid w:val="1087427D"/>
    <w:rsid w:val="108E40B0"/>
    <w:rsid w:val="108F5AD6"/>
    <w:rsid w:val="10910A6C"/>
    <w:rsid w:val="10937379"/>
    <w:rsid w:val="10A01DA7"/>
    <w:rsid w:val="10A1788B"/>
    <w:rsid w:val="10A772EF"/>
    <w:rsid w:val="10B247B3"/>
    <w:rsid w:val="10BE79E8"/>
    <w:rsid w:val="10DE5F6D"/>
    <w:rsid w:val="10E75ECD"/>
    <w:rsid w:val="10FC0194"/>
    <w:rsid w:val="10FE02D8"/>
    <w:rsid w:val="110F2DD6"/>
    <w:rsid w:val="111E737C"/>
    <w:rsid w:val="112070BC"/>
    <w:rsid w:val="11334554"/>
    <w:rsid w:val="11445096"/>
    <w:rsid w:val="114A0C38"/>
    <w:rsid w:val="114C7F4B"/>
    <w:rsid w:val="115149EB"/>
    <w:rsid w:val="115266C3"/>
    <w:rsid w:val="118D3FE6"/>
    <w:rsid w:val="11903C21"/>
    <w:rsid w:val="11947738"/>
    <w:rsid w:val="11A20CC6"/>
    <w:rsid w:val="11A35BC7"/>
    <w:rsid w:val="11B317D2"/>
    <w:rsid w:val="11D22F0F"/>
    <w:rsid w:val="11D84916"/>
    <w:rsid w:val="11DD12E5"/>
    <w:rsid w:val="11E01EB5"/>
    <w:rsid w:val="11E854EB"/>
    <w:rsid w:val="11F0507D"/>
    <w:rsid w:val="11F66346"/>
    <w:rsid w:val="11FD0D0E"/>
    <w:rsid w:val="12015EA8"/>
    <w:rsid w:val="12112075"/>
    <w:rsid w:val="12124B37"/>
    <w:rsid w:val="12146A64"/>
    <w:rsid w:val="12147079"/>
    <w:rsid w:val="12166057"/>
    <w:rsid w:val="122C1681"/>
    <w:rsid w:val="123A682D"/>
    <w:rsid w:val="123D2EE6"/>
    <w:rsid w:val="12403D21"/>
    <w:rsid w:val="125013C6"/>
    <w:rsid w:val="125822F1"/>
    <w:rsid w:val="125E6811"/>
    <w:rsid w:val="12737B22"/>
    <w:rsid w:val="127444CA"/>
    <w:rsid w:val="127F5C15"/>
    <w:rsid w:val="128871AC"/>
    <w:rsid w:val="128B57E5"/>
    <w:rsid w:val="128D2112"/>
    <w:rsid w:val="128F6A2B"/>
    <w:rsid w:val="129402A3"/>
    <w:rsid w:val="1297086D"/>
    <w:rsid w:val="129B27C3"/>
    <w:rsid w:val="12A76780"/>
    <w:rsid w:val="12B65865"/>
    <w:rsid w:val="12C74C64"/>
    <w:rsid w:val="12C96684"/>
    <w:rsid w:val="12CA2A9C"/>
    <w:rsid w:val="12CB77F1"/>
    <w:rsid w:val="12D929A5"/>
    <w:rsid w:val="12DD13AC"/>
    <w:rsid w:val="12EB1F09"/>
    <w:rsid w:val="12F2663F"/>
    <w:rsid w:val="12F41B54"/>
    <w:rsid w:val="12FE0F0C"/>
    <w:rsid w:val="13060FB9"/>
    <w:rsid w:val="13382F43"/>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C63F84"/>
    <w:rsid w:val="13CB261C"/>
    <w:rsid w:val="13D75C00"/>
    <w:rsid w:val="13E00116"/>
    <w:rsid w:val="13E02352"/>
    <w:rsid w:val="13E30B7D"/>
    <w:rsid w:val="13ED04A7"/>
    <w:rsid w:val="13F24E08"/>
    <w:rsid w:val="13FE1C03"/>
    <w:rsid w:val="1402132F"/>
    <w:rsid w:val="14074EC8"/>
    <w:rsid w:val="140947EE"/>
    <w:rsid w:val="140C3988"/>
    <w:rsid w:val="141813E7"/>
    <w:rsid w:val="141F4D38"/>
    <w:rsid w:val="142373DC"/>
    <w:rsid w:val="142903E8"/>
    <w:rsid w:val="143357DB"/>
    <w:rsid w:val="14411843"/>
    <w:rsid w:val="1446122E"/>
    <w:rsid w:val="144A0D85"/>
    <w:rsid w:val="145A1D5A"/>
    <w:rsid w:val="145E73FE"/>
    <w:rsid w:val="146C12BB"/>
    <w:rsid w:val="14791CE3"/>
    <w:rsid w:val="14814BBB"/>
    <w:rsid w:val="14851CC6"/>
    <w:rsid w:val="148C237F"/>
    <w:rsid w:val="149A7DE4"/>
    <w:rsid w:val="14A06FC1"/>
    <w:rsid w:val="14AC0D94"/>
    <w:rsid w:val="14AD5060"/>
    <w:rsid w:val="14B94964"/>
    <w:rsid w:val="14BB3A1F"/>
    <w:rsid w:val="14D969A6"/>
    <w:rsid w:val="14E61747"/>
    <w:rsid w:val="1502097B"/>
    <w:rsid w:val="15162ACE"/>
    <w:rsid w:val="15265380"/>
    <w:rsid w:val="15337D09"/>
    <w:rsid w:val="153C211B"/>
    <w:rsid w:val="153C7063"/>
    <w:rsid w:val="155D0A7F"/>
    <w:rsid w:val="15684240"/>
    <w:rsid w:val="156F1C12"/>
    <w:rsid w:val="1580763A"/>
    <w:rsid w:val="1586427B"/>
    <w:rsid w:val="1587402A"/>
    <w:rsid w:val="15886767"/>
    <w:rsid w:val="15967E8D"/>
    <w:rsid w:val="159A07D2"/>
    <w:rsid w:val="159C63AC"/>
    <w:rsid w:val="15AA7739"/>
    <w:rsid w:val="15B82FBA"/>
    <w:rsid w:val="15BC4B29"/>
    <w:rsid w:val="15BE1C46"/>
    <w:rsid w:val="15C06260"/>
    <w:rsid w:val="15CA0DC6"/>
    <w:rsid w:val="15DD4A1C"/>
    <w:rsid w:val="15E90584"/>
    <w:rsid w:val="15F50C4E"/>
    <w:rsid w:val="160A0813"/>
    <w:rsid w:val="16192C05"/>
    <w:rsid w:val="16263368"/>
    <w:rsid w:val="163E496F"/>
    <w:rsid w:val="16401FC7"/>
    <w:rsid w:val="16540136"/>
    <w:rsid w:val="166260E3"/>
    <w:rsid w:val="166D5D9B"/>
    <w:rsid w:val="16794AA8"/>
    <w:rsid w:val="1680192E"/>
    <w:rsid w:val="16831695"/>
    <w:rsid w:val="168521B8"/>
    <w:rsid w:val="16A11F17"/>
    <w:rsid w:val="16A208E0"/>
    <w:rsid w:val="16A5270A"/>
    <w:rsid w:val="16B56C2D"/>
    <w:rsid w:val="16BB3AFF"/>
    <w:rsid w:val="16C938F5"/>
    <w:rsid w:val="16D61CD9"/>
    <w:rsid w:val="16D81ED4"/>
    <w:rsid w:val="16DB1E7A"/>
    <w:rsid w:val="16E01371"/>
    <w:rsid w:val="16E22E42"/>
    <w:rsid w:val="16E74CBD"/>
    <w:rsid w:val="16F1756B"/>
    <w:rsid w:val="16F6268C"/>
    <w:rsid w:val="170B79C5"/>
    <w:rsid w:val="171A54C8"/>
    <w:rsid w:val="171B6233"/>
    <w:rsid w:val="172B290E"/>
    <w:rsid w:val="17386DB9"/>
    <w:rsid w:val="1741574D"/>
    <w:rsid w:val="175B1D16"/>
    <w:rsid w:val="175E40B9"/>
    <w:rsid w:val="17847F66"/>
    <w:rsid w:val="178B5FD7"/>
    <w:rsid w:val="178E5D23"/>
    <w:rsid w:val="1793303A"/>
    <w:rsid w:val="179C79A4"/>
    <w:rsid w:val="17AE1106"/>
    <w:rsid w:val="17B070BF"/>
    <w:rsid w:val="17B521B9"/>
    <w:rsid w:val="17D52F7B"/>
    <w:rsid w:val="17EB75B0"/>
    <w:rsid w:val="17F5084F"/>
    <w:rsid w:val="180B1BB2"/>
    <w:rsid w:val="181578CA"/>
    <w:rsid w:val="181C3F62"/>
    <w:rsid w:val="183653D1"/>
    <w:rsid w:val="18425D8C"/>
    <w:rsid w:val="18440068"/>
    <w:rsid w:val="18502972"/>
    <w:rsid w:val="185159AA"/>
    <w:rsid w:val="18643ECB"/>
    <w:rsid w:val="18697E60"/>
    <w:rsid w:val="1875497B"/>
    <w:rsid w:val="188C3829"/>
    <w:rsid w:val="18A5771F"/>
    <w:rsid w:val="18AF74E1"/>
    <w:rsid w:val="18C460E4"/>
    <w:rsid w:val="18CB7663"/>
    <w:rsid w:val="18CC5CF8"/>
    <w:rsid w:val="18CD0844"/>
    <w:rsid w:val="18D45411"/>
    <w:rsid w:val="18D63AE2"/>
    <w:rsid w:val="18F8655D"/>
    <w:rsid w:val="18FE2979"/>
    <w:rsid w:val="19057478"/>
    <w:rsid w:val="190E7C32"/>
    <w:rsid w:val="191356DB"/>
    <w:rsid w:val="19141C41"/>
    <w:rsid w:val="19160144"/>
    <w:rsid w:val="191D7CCE"/>
    <w:rsid w:val="191F38B0"/>
    <w:rsid w:val="19216787"/>
    <w:rsid w:val="19241273"/>
    <w:rsid w:val="192B4EB5"/>
    <w:rsid w:val="19375827"/>
    <w:rsid w:val="193C54C4"/>
    <w:rsid w:val="1951139B"/>
    <w:rsid w:val="195600F1"/>
    <w:rsid w:val="1957694B"/>
    <w:rsid w:val="19595274"/>
    <w:rsid w:val="19607A93"/>
    <w:rsid w:val="196A4CE8"/>
    <w:rsid w:val="197141ED"/>
    <w:rsid w:val="1975293B"/>
    <w:rsid w:val="19796968"/>
    <w:rsid w:val="19872D5B"/>
    <w:rsid w:val="198A461A"/>
    <w:rsid w:val="19934AEB"/>
    <w:rsid w:val="19A20F7C"/>
    <w:rsid w:val="19AA7C9B"/>
    <w:rsid w:val="19BC030D"/>
    <w:rsid w:val="19D16582"/>
    <w:rsid w:val="19E0148D"/>
    <w:rsid w:val="19E675DB"/>
    <w:rsid w:val="19E858AF"/>
    <w:rsid w:val="19E95C0F"/>
    <w:rsid w:val="1A002A36"/>
    <w:rsid w:val="1A2B25FE"/>
    <w:rsid w:val="1A3454BE"/>
    <w:rsid w:val="1A37645B"/>
    <w:rsid w:val="1A4667A4"/>
    <w:rsid w:val="1A523105"/>
    <w:rsid w:val="1A5562D2"/>
    <w:rsid w:val="1A580DDD"/>
    <w:rsid w:val="1A64411F"/>
    <w:rsid w:val="1A7857C1"/>
    <w:rsid w:val="1A8451DD"/>
    <w:rsid w:val="1A9160AD"/>
    <w:rsid w:val="1AA91D4F"/>
    <w:rsid w:val="1AB14FC0"/>
    <w:rsid w:val="1AB203D4"/>
    <w:rsid w:val="1AB77836"/>
    <w:rsid w:val="1AC94D1F"/>
    <w:rsid w:val="1ACA2775"/>
    <w:rsid w:val="1ACE7057"/>
    <w:rsid w:val="1AD6153D"/>
    <w:rsid w:val="1ADA55B5"/>
    <w:rsid w:val="1ADC1643"/>
    <w:rsid w:val="1ADF0AC1"/>
    <w:rsid w:val="1AED2C11"/>
    <w:rsid w:val="1AF103B1"/>
    <w:rsid w:val="1B094BB4"/>
    <w:rsid w:val="1B0E04C0"/>
    <w:rsid w:val="1B0E27E5"/>
    <w:rsid w:val="1B192659"/>
    <w:rsid w:val="1B193B18"/>
    <w:rsid w:val="1B341EBA"/>
    <w:rsid w:val="1B3B5A5B"/>
    <w:rsid w:val="1B400993"/>
    <w:rsid w:val="1B4A340F"/>
    <w:rsid w:val="1B512965"/>
    <w:rsid w:val="1B5755CC"/>
    <w:rsid w:val="1B8B78DA"/>
    <w:rsid w:val="1BA74A90"/>
    <w:rsid w:val="1BA90931"/>
    <w:rsid w:val="1BAF3854"/>
    <w:rsid w:val="1BC0425F"/>
    <w:rsid w:val="1BD56E55"/>
    <w:rsid w:val="1BD82C95"/>
    <w:rsid w:val="1BE16AFC"/>
    <w:rsid w:val="1BE35EAD"/>
    <w:rsid w:val="1BE91204"/>
    <w:rsid w:val="1BEC65C0"/>
    <w:rsid w:val="1BF76A78"/>
    <w:rsid w:val="1C0F7870"/>
    <w:rsid w:val="1C195E48"/>
    <w:rsid w:val="1C1C50AA"/>
    <w:rsid w:val="1C252BA9"/>
    <w:rsid w:val="1C2F6EA5"/>
    <w:rsid w:val="1C3441A7"/>
    <w:rsid w:val="1C365CFE"/>
    <w:rsid w:val="1C5050D9"/>
    <w:rsid w:val="1C61406D"/>
    <w:rsid w:val="1C7C5F29"/>
    <w:rsid w:val="1C82578F"/>
    <w:rsid w:val="1C877EF5"/>
    <w:rsid w:val="1C891BAA"/>
    <w:rsid w:val="1CA96E2B"/>
    <w:rsid w:val="1CBD71D8"/>
    <w:rsid w:val="1CC05CC7"/>
    <w:rsid w:val="1CC8042E"/>
    <w:rsid w:val="1CCD4E60"/>
    <w:rsid w:val="1CD375D9"/>
    <w:rsid w:val="1CD66AF0"/>
    <w:rsid w:val="1CD814C5"/>
    <w:rsid w:val="1CDF755A"/>
    <w:rsid w:val="1CE122CF"/>
    <w:rsid w:val="1CE95578"/>
    <w:rsid w:val="1D0474A7"/>
    <w:rsid w:val="1D0A07D1"/>
    <w:rsid w:val="1D0B6D85"/>
    <w:rsid w:val="1D0D49B3"/>
    <w:rsid w:val="1D1817C7"/>
    <w:rsid w:val="1D2F1D46"/>
    <w:rsid w:val="1D51270F"/>
    <w:rsid w:val="1D526265"/>
    <w:rsid w:val="1D535BFB"/>
    <w:rsid w:val="1D7326C6"/>
    <w:rsid w:val="1D8C3DAD"/>
    <w:rsid w:val="1DA72908"/>
    <w:rsid w:val="1DAE4EFB"/>
    <w:rsid w:val="1DB71CD1"/>
    <w:rsid w:val="1DBC10D7"/>
    <w:rsid w:val="1DBD16BE"/>
    <w:rsid w:val="1DC11297"/>
    <w:rsid w:val="1DF15A34"/>
    <w:rsid w:val="1DFD30C4"/>
    <w:rsid w:val="1E1D65A9"/>
    <w:rsid w:val="1E1F62DB"/>
    <w:rsid w:val="1E20504E"/>
    <w:rsid w:val="1E2B3BCE"/>
    <w:rsid w:val="1E3F0D90"/>
    <w:rsid w:val="1E4B77EA"/>
    <w:rsid w:val="1E582320"/>
    <w:rsid w:val="1E5F399D"/>
    <w:rsid w:val="1E642BA9"/>
    <w:rsid w:val="1E6D1CF0"/>
    <w:rsid w:val="1E766DF2"/>
    <w:rsid w:val="1E780410"/>
    <w:rsid w:val="1E8E5EF5"/>
    <w:rsid w:val="1E9B24D5"/>
    <w:rsid w:val="1EA5795B"/>
    <w:rsid w:val="1EAD0FF4"/>
    <w:rsid w:val="1EAF1548"/>
    <w:rsid w:val="1EB24880"/>
    <w:rsid w:val="1EBF492F"/>
    <w:rsid w:val="1EC15A2A"/>
    <w:rsid w:val="1EC43D90"/>
    <w:rsid w:val="1EC76DC7"/>
    <w:rsid w:val="1EC85A19"/>
    <w:rsid w:val="1ECA0FDF"/>
    <w:rsid w:val="1ECE3F18"/>
    <w:rsid w:val="1ED92D03"/>
    <w:rsid w:val="1EE2537C"/>
    <w:rsid w:val="1EF03CA6"/>
    <w:rsid w:val="1EF0541B"/>
    <w:rsid w:val="1EF27FBA"/>
    <w:rsid w:val="1EFF0A00"/>
    <w:rsid w:val="1F041A9E"/>
    <w:rsid w:val="1F105913"/>
    <w:rsid w:val="1F130AAF"/>
    <w:rsid w:val="1F1B6A59"/>
    <w:rsid w:val="1F1D3619"/>
    <w:rsid w:val="1F1F16FA"/>
    <w:rsid w:val="1F235508"/>
    <w:rsid w:val="1F2F1AF9"/>
    <w:rsid w:val="1F3C23AD"/>
    <w:rsid w:val="1F444220"/>
    <w:rsid w:val="1F4D339A"/>
    <w:rsid w:val="1F517B8E"/>
    <w:rsid w:val="1F526107"/>
    <w:rsid w:val="1F540F6B"/>
    <w:rsid w:val="1F5465FD"/>
    <w:rsid w:val="1F5B1966"/>
    <w:rsid w:val="1F792F27"/>
    <w:rsid w:val="1F8C08BF"/>
    <w:rsid w:val="1F904F2D"/>
    <w:rsid w:val="1F9C3C77"/>
    <w:rsid w:val="1FBE768E"/>
    <w:rsid w:val="1FD072CB"/>
    <w:rsid w:val="1FD81AFC"/>
    <w:rsid w:val="1FE31889"/>
    <w:rsid w:val="1FE761B1"/>
    <w:rsid w:val="1FF92454"/>
    <w:rsid w:val="200F4543"/>
    <w:rsid w:val="202B3804"/>
    <w:rsid w:val="202F471C"/>
    <w:rsid w:val="205D1CF3"/>
    <w:rsid w:val="20600899"/>
    <w:rsid w:val="206D77FE"/>
    <w:rsid w:val="2075205C"/>
    <w:rsid w:val="20766B5D"/>
    <w:rsid w:val="207C5A77"/>
    <w:rsid w:val="20812A7A"/>
    <w:rsid w:val="208967EC"/>
    <w:rsid w:val="20984E4E"/>
    <w:rsid w:val="20A56834"/>
    <w:rsid w:val="20AA06CD"/>
    <w:rsid w:val="20B51035"/>
    <w:rsid w:val="20B53FF2"/>
    <w:rsid w:val="20C429FD"/>
    <w:rsid w:val="20CC063E"/>
    <w:rsid w:val="20D0361C"/>
    <w:rsid w:val="20D44900"/>
    <w:rsid w:val="20D85910"/>
    <w:rsid w:val="20E43F49"/>
    <w:rsid w:val="20EC3E50"/>
    <w:rsid w:val="20EF4392"/>
    <w:rsid w:val="20F33301"/>
    <w:rsid w:val="20F815BD"/>
    <w:rsid w:val="210114BB"/>
    <w:rsid w:val="210D1FB8"/>
    <w:rsid w:val="21135323"/>
    <w:rsid w:val="212519E9"/>
    <w:rsid w:val="212D1323"/>
    <w:rsid w:val="21345F29"/>
    <w:rsid w:val="213C11D8"/>
    <w:rsid w:val="21621765"/>
    <w:rsid w:val="216E764F"/>
    <w:rsid w:val="21737460"/>
    <w:rsid w:val="2176492F"/>
    <w:rsid w:val="217F5FEA"/>
    <w:rsid w:val="218B14A7"/>
    <w:rsid w:val="21AA139D"/>
    <w:rsid w:val="21BB20FC"/>
    <w:rsid w:val="21C2768F"/>
    <w:rsid w:val="21D634F4"/>
    <w:rsid w:val="21D912D2"/>
    <w:rsid w:val="21DA5CA4"/>
    <w:rsid w:val="21E26D67"/>
    <w:rsid w:val="21E40879"/>
    <w:rsid w:val="21EC5465"/>
    <w:rsid w:val="21FC4A83"/>
    <w:rsid w:val="220348F7"/>
    <w:rsid w:val="22042FE8"/>
    <w:rsid w:val="220710B9"/>
    <w:rsid w:val="220B587A"/>
    <w:rsid w:val="22156802"/>
    <w:rsid w:val="22273871"/>
    <w:rsid w:val="223A1D76"/>
    <w:rsid w:val="2243324F"/>
    <w:rsid w:val="22550062"/>
    <w:rsid w:val="2255406C"/>
    <w:rsid w:val="226709A2"/>
    <w:rsid w:val="22810C1D"/>
    <w:rsid w:val="228B310C"/>
    <w:rsid w:val="228B4018"/>
    <w:rsid w:val="22A47B87"/>
    <w:rsid w:val="22B21FB3"/>
    <w:rsid w:val="22C0384D"/>
    <w:rsid w:val="22C22C57"/>
    <w:rsid w:val="22D049A3"/>
    <w:rsid w:val="22D36863"/>
    <w:rsid w:val="22DD29F7"/>
    <w:rsid w:val="22E72BCB"/>
    <w:rsid w:val="230060E8"/>
    <w:rsid w:val="2302404F"/>
    <w:rsid w:val="2304651B"/>
    <w:rsid w:val="23105512"/>
    <w:rsid w:val="23317147"/>
    <w:rsid w:val="23323549"/>
    <w:rsid w:val="233272DB"/>
    <w:rsid w:val="23491C4F"/>
    <w:rsid w:val="234E59AA"/>
    <w:rsid w:val="23543002"/>
    <w:rsid w:val="235C2ECF"/>
    <w:rsid w:val="23764B9D"/>
    <w:rsid w:val="2376738D"/>
    <w:rsid w:val="23773234"/>
    <w:rsid w:val="23891D0E"/>
    <w:rsid w:val="23925C55"/>
    <w:rsid w:val="2397295F"/>
    <w:rsid w:val="23976015"/>
    <w:rsid w:val="239F4DB2"/>
    <w:rsid w:val="23B21CC7"/>
    <w:rsid w:val="23BC1A29"/>
    <w:rsid w:val="23CF230F"/>
    <w:rsid w:val="23D7300B"/>
    <w:rsid w:val="23E863E8"/>
    <w:rsid w:val="23EF6864"/>
    <w:rsid w:val="23FF4029"/>
    <w:rsid w:val="240B1BA7"/>
    <w:rsid w:val="241B3778"/>
    <w:rsid w:val="242244CF"/>
    <w:rsid w:val="24316232"/>
    <w:rsid w:val="243A6DF4"/>
    <w:rsid w:val="244B4209"/>
    <w:rsid w:val="24560AE2"/>
    <w:rsid w:val="24605B88"/>
    <w:rsid w:val="24671C47"/>
    <w:rsid w:val="246B1903"/>
    <w:rsid w:val="24794836"/>
    <w:rsid w:val="247D5B1B"/>
    <w:rsid w:val="248727F9"/>
    <w:rsid w:val="248C391F"/>
    <w:rsid w:val="249700EF"/>
    <w:rsid w:val="24996D32"/>
    <w:rsid w:val="24AD2AE7"/>
    <w:rsid w:val="24AF0519"/>
    <w:rsid w:val="24BC444C"/>
    <w:rsid w:val="24C16FF5"/>
    <w:rsid w:val="24EB0386"/>
    <w:rsid w:val="24EE205A"/>
    <w:rsid w:val="24FE54BC"/>
    <w:rsid w:val="25005E1F"/>
    <w:rsid w:val="2502385F"/>
    <w:rsid w:val="25066118"/>
    <w:rsid w:val="250B6210"/>
    <w:rsid w:val="251D0B0F"/>
    <w:rsid w:val="251E41E7"/>
    <w:rsid w:val="25221698"/>
    <w:rsid w:val="252A07E3"/>
    <w:rsid w:val="252D4876"/>
    <w:rsid w:val="25493BC7"/>
    <w:rsid w:val="254F48B6"/>
    <w:rsid w:val="2550468A"/>
    <w:rsid w:val="255A0011"/>
    <w:rsid w:val="255D7D65"/>
    <w:rsid w:val="25647C09"/>
    <w:rsid w:val="25653A50"/>
    <w:rsid w:val="25781361"/>
    <w:rsid w:val="258D7703"/>
    <w:rsid w:val="25965B26"/>
    <w:rsid w:val="25A65B5B"/>
    <w:rsid w:val="25A8698B"/>
    <w:rsid w:val="25AD3136"/>
    <w:rsid w:val="25B57485"/>
    <w:rsid w:val="25BC2096"/>
    <w:rsid w:val="25C1234B"/>
    <w:rsid w:val="25CD3FBC"/>
    <w:rsid w:val="25CE04F1"/>
    <w:rsid w:val="25DB6B47"/>
    <w:rsid w:val="25E242BB"/>
    <w:rsid w:val="25E540FF"/>
    <w:rsid w:val="25E93B02"/>
    <w:rsid w:val="25EB3B02"/>
    <w:rsid w:val="25F07927"/>
    <w:rsid w:val="25F629AF"/>
    <w:rsid w:val="25F8089C"/>
    <w:rsid w:val="25FE3FFD"/>
    <w:rsid w:val="260354A1"/>
    <w:rsid w:val="26186461"/>
    <w:rsid w:val="262466CD"/>
    <w:rsid w:val="264E4C7F"/>
    <w:rsid w:val="26533224"/>
    <w:rsid w:val="26541061"/>
    <w:rsid w:val="2670311C"/>
    <w:rsid w:val="26813AD2"/>
    <w:rsid w:val="26A64E34"/>
    <w:rsid w:val="26B00275"/>
    <w:rsid w:val="26B64413"/>
    <w:rsid w:val="26B84084"/>
    <w:rsid w:val="26BF382E"/>
    <w:rsid w:val="26C54B9B"/>
    <w:rsid w:val="26C6512F"/>
    <w:rsid w:val="26D901D4"/>
    <w:rsid w:val="26E30520"/>
    <w:rsid w:val="26FF3DC8"/>
    <w:rsid w:val="2718290D"/>
    <w:rsid w:val="27183AD8"/>
    <w:rsid w:val="2756780D"/>
    <w:rsid w:val="275F248D"/>
    <w:rsid w:val="27644211"/>
    <w:rsid w:val="276F5857"/>
    <w:rsid w:val="27713096"/>
    <w:rsid w:val="277C6089"/>
    <w:rsid w:val="278019FC"/>
    <w:rsid w:val="27897417"/>
    <w:rsid w:val="278F1BA4"/>
    <w:rsid w:val="27913C45"/>
    <w:rsid w:val="27977810"/>
    <w:rsid w:val="27A449A7"/>
    <w:rsid w:val="27A83E8D"/>
    <w:rsid w:val="27B24E9C"/>
    <w:rsid w:val="27B346D8"/>
    <w:rsid w:val="27BC433E"/>
    <w:rsid w:val="27BC4715"/>
    <w:rsid w:val="27CE139A"/>
    <w:rsid w:val="27E25E49"/>
    <w:rsid w:val="27E63AB6"/>
    <w:rsid w:val="27F231DD"/>
    <w:rsid w:val="28205EB0"/>
    <w:rsid w:val="282B4784"/>
    <w:rsid w:val="283046FD"/>
    <w:rsid w:val="2837420E"/>
    <w:rsid w:val="283C5A70"/>
    <w:rsid w:val="2845270C"/>
    <w:rsid w:val="284A470E"/>
    <w:rsid w:val="28546060"/>
    <w:rsid w:val="285A7B8F"/>
    <w:rsid w:val="285C6B52"/>
    <w:rsid w:val="286310DC"/>
    <w:rsid w:val="28786605"/>
    <w:rsid w:val="287B731C"/>
    <w:rsid w:val="2887164E"/>
    <w:rsid w:val="28892426"/>
    <w:rsid w:val="288B2E18"/>
    <w:rsid w:val="28A843B1"/>
    <w:rsid w:val="28B20B7C"/>
    <w:rsid w:val="28DF2C40"/>
    <w:rsid w:val="28E44291"/>
    <w:rsid w:val="28E77369"/>
    <w:rsid w:val="28E9631F"/>
    <w:rsid w:val="28EB1022"/>
    <w:rsid w:val="28F50ECC"/>
    <w:rsid w:val="29065633"/>
    <w:rsid w:val="29090CF2"/>
    <w:rsid w:val="290D196C"/>
    <w:rsid w:val="290D36E4"/>
    <w:rsid w:val="290F2C4A"/>
    <w:rsid w:val="292722E1"/>
    <w:rsid w:val="292C23A0"/>
    <w:rsid w:val="29326B8F"/>
    <w:rsid w:val="293C58E0"/>
    <w:rsid w:val="29442AB2"/>
    <w:rsid w:val="29444E83"/>
    <w:rsid w:val="294566C3"/>
    <w:rsid w:val="2946219C"/>
    <w:rsid w:val="2954302F"/>
    <w:rsid w:val="2956122D"/>
    <w:rsid w:val="29631E2D"/>
    <w:rsid w:val="297929F3"/>
    <w:rsid w:val="297A6214"/>
    <w:rsid w:val="298D0F22"/>
    <w:rsid w:val="29AC7F64"/>
    <w:rsid w:val="29AD1205"/>
    <w:rsid w:val="29B025A4"/>
    <w:rsid w:val="29B5714B"/>
    <w:rsid w:val="29B82AFC"/>
    <w:rsid w:val="29CA6918"/>
    <w:rsid w:val="29CD5CFE"/>
    <w:rsid w:val="29D31EAA"/>
    <w:rsid w:val="29DC6F28"/>
    <w:rsid w:val="29E370AE"/>
    <w:rsid w:val="29F101FE"/>
    <w:rsid w:val="29F83E3A"/>
    <w:rsid w:val="29FC0A34"/>
    <w:rsid w:val="2A065B82"/>
    <w:rsid w:val="2A460495"/>
    <w:rsid w:val="2A542476"/>
    <w:rsid w:val="2A572019"/>
    <w:rsid w:val="2A606A48"/>
    <w:rsid w:val="2A672272"/>
    <w:rsid w:val="2A774F13"/>
    <w:rsid w:val="2A792366"/>
    <w:rsid w:val="2A9B6F1B"/>
    <w:rsid w:val="2A9E60D9"/>
    <w:rsid w:val="2AA07DD6"/>
    <w:rsid w:val="2AA20835"/>
    <w:rsid w:val="2AA665FD"/>
    <w:rsid w:val="2AAA3E0C"/>
    <w:rsid w:val="2AAA79B8"/>
    <w:rsid w:val="2AB9199D"/>
    <w:rsid w:val="2ABE673C"/>
    <w:rsid w:val="2ABF2BCC"/>
    <w:rsid w:val="2AC3006E"/>
    <w:rsid w:val="2AC43F9F"/>
    <w:rsid w:val="2AC6136D"/>
    <w:rsid w:val="2AD05183"/>
    <w:rsid w:val="2AD952B5"/>
    <w:rsid w:val="2ADC703A"/>
    <w:rsid w:val="2AE00623"/>
    <w:rsid w:val="2AEA4EB9"/>
    <w:rsid w:val="2AEC22C7"/>
    <w:rsid w:val="2AFF2A63"/>
    <w:rsid w:val="2B063A1F"/>
    <w:rsid w:val="2B0738F0"/>
    <w:rsid w:val="2B0E0F65"/>
    <w:rsid w:val="2B2114E1"/>
    <w:rsid w:val="2B2C1264"/>
    <w:rsid w:val="2B2F7D02"/>
    <w:rsid w:val="2B374C7F"/>
    <w:rsid w:val="2B3E071E"/>
    <w:rsid w:val="2B3F420A"/>
    <w:rsid w:val="2B4A3494"/>
    <w:rsid w:val="2B4D5A99"/>
    <w:rsid w:val="2B510311"/>
    <w:rsid w:val="2B593E95"/>
    <w:rsid w:val="2B5A4189"/>
    <w:rsid w:val="2B5D3ED4"/>
    <w:rsid w:val="2B654F54"/>
    <w:rsid w:val="2B7831EA"/>
    <w:rsid w:val="2B7D13CC"/>
    <w:rsid w:val="2B8876B4"/>
    <w:rsid w:val="2B935FD0"/>
    <w:rsid w:val="2BA13AB1"/>
    <w:rsid w:val="2BA857ED"/>
    <w:rsid w:val="2BBF2CAD"/>
    <w:rsid w:val="2BD94617"/>
    <w:rsid w:val="2BDD4799"/>
    <w:rsid w:val="2C191249"/>
    <w:rsid w:val="2C1F6162"/>
    <w:rsid w:val="2C2D1BEC"/>
    <w:rsid w:val="2C2E702D"/>
    <w:rsid w:val="2C396882"/>
    <w:rsid w:val="2C3B789F"/>
    <w:rsid w:val="2C467CD2"/>
    <w:rsid w:val="2C4A64EC"/>
    <w:rsid w:val="2C4C4186"/>
    <w:rsid w:val="2C4C5BF6"/>
    <w:rsid w:val="2C6F332D"/>
    <w:rsid w:val="2C802F84"/>
    <w:rsid w:val="2C8045D1"/>
    <w:rsid w:val="2CA730EC"/>
    <w:rsid w:val="2CAA3375"/>
    <w:rsid w:val="2CB771ED"/>
    <w:rsid w:val="2CC130AA"/>
    <w:rsid w:val="2CC736A5"/>
    <w:rsid w:val="2CD40880"/>
    <w:rsid w:val="2CDE4229"/>
    <w:rsid w:val="2CE04532"/>
    <w:rsid w:val="2CE16492"/>
    <w:rsid w:val="2CEB42D0"/>
    <w:rsid w:val="2CF72B44"/>
    <w:rsid w:val="2D0A6D50"/>
    <w:rsid w:val="2D0A7297"/>
    <w:rsid w:val="2D0B3B70"/>
    <w:rsid w:val="2D1350E2"/>
    <w:rsid w:val="2D15427B"/>
    <w:rsid w:val="2D35124C"/>
    <w:rsid w:val="2D416047"/>
    <w:rsid w:val="2D421841"/>
    <w:rsid w:val="2D4D0E6D"/>
    <w:rsid w:val="2D501998"/>
    <w:rsid w:val="2D696E27"/>
    <w:rsid w:val="2D723FD9"/>
    <w:rsid w:val="2D933D93"/>
    <w:rsid w:val="2D933E51"/>
    <w:rsid w:val="2D9C0291"/>
    <w:rsid w:val="2DAC1EAF"/>
    <w:rsid w:val="2DBC78D6"/>
    <w:rsid w:val="2DC337EC"/>
    <w:rsid w:val="2DD229E6"/>
    <w:rsid w:val="2DD73448"/>
    <w:rsid w:val="2DE70634"/>
    <w:rsid w:val="2DEC127F"/>
    <w:rsid w:val="2DF20382"/>
    <w:rsid w:val="2E010D97"/>
    <w:rsid w:val="2E05745B"/>
    <w:rsid w:val="2E1B2ADA"/>
    <w:rsid w:val="2E1E09A5"/>
    <w:rsid w:val="2E225A24"/>
    <w:rsid w:val="2E2561B5"/>
    <w:rsid w:val="2E332CEB"/>
    <w:rsid w:val="2E4A0DA8"/>
    <w:rsid w:val="2E6E03B6"/>
    <w:rsid w:val="2E6E553E"/>
    <w:rsid w:val="2E743739"/>
    <w:rsid w:val="2E777481"/>
    <w:rsid w:val="2E785654"/>
    <w:rsid w:val="2E794D46"/>
    <w:rsid w:val="2E9D0DDC"/>
    <w:rsid w:val="2EA02E46"/>
    <w:rsid w:val="2EAD6133"/>
    <w:rsid w:val="2EB259EE"/>
    <w:rsid w:val="2EB44951"/>
    <w:rsid w:val="2EB96892"/>
    <w:rsid w:val="2EBA175B"/>
    <w:rsid w:val="2EBC0D00"/>
    <w:rsid w:val="2EC47DBD"/>
    <w:rsid w:val="2ED237F3"/>
    <w:rsid w:val="2EFE23E9"/>
    <w:rsid w:val="2F0C4C2A"/>
    <w:rsid w:val="2F0F563F"/>
    <w:rsid w:val="2F144960"/>
    <w:rsid w:val="2F1519D6"/>
    <w:rsid w:val="2F170C0F"/>
    <w:rsid w:val="2F1F3A4D"/>
    <w:rsid w:val="2F2B0AB4"/>
    <w:rsid w:val="2F2B4668"/>
    <w:rsid w:val="2F3A7CD4"/>
    <w:rsid w:val="2F3E0C12"/>
    <w:rsid w:val="2F4558F1"/>
    <w:rsid w:val="2F4A56AD"/>
    <w:rsid w:val="2F4A6C26"/>
    <w:rsid w:val="2F784790"/>
    <w:rsid w:val="2F7B36A8"/>
    <w:rsid w:val="2F826205"/>
    <w:rsid w:val="2F8D2C63"/>
    <w:rsid w:val="2F8E4DCB"/>
    <w:rsid w:val="2F8F7CEB"/>
    <w:rsid w:val="2F9155B2"/>
    <w:rsid w:val="2F9B7763"/>
    <w:rsid w:val="2F9D7E04"/>
    <w:rsid w:val="2FA11D30"/>
    <w:rsid w:val="2FAA5E1A"/>
    <w:rsid w:val="2FAB4623"/>
    <w:rsid w:val="2FC57F08"/>
    <w:rsid w:val="2FC61141"/>
    <w:rsid w:val="2FC71311"/>
    <w:rsid w:val="2FD32A7A"/>
    <w:rsid w:val="2FDE4AED"/>
    <w:rsid w:val="2FDF6214"/>
    <w:rsid w:val="300A43D0"/>
    <w:rsid w:val="301537C5"/>
    <w:rsid w:val="30185978"/>
    <w:rsid w:val="301E6A4B"/>
    <w:rsid w:val="30264A9E"/>
    <w:rsid w:val="302E6167"/>
    <w:rsid w:val="303C3B19"/>
    <w:rsid w:val="304F4F89"/>
    <w:rsid w:val="305F515E"/>
    <w:rsid w:val="30663002"/>
    <w:rsid w:val="306E0AD2"/>
    <w:rsid w:val="307C5326"/>
    <w:rsid w:val="30845B36"/>
    <w:rsid w:val="308A4A18"/>
    <w:rsid w:val="3095526B"/>
    <w:rsid w:val="30974BB3"/>
    <w:rsid w:val="30A01C92"/>
    <w:rsid w:val="30A5426C"/>
    <w:rsid w:val="30BA4328"/>
    <w:rsid w:val="30C4178A"/>
    <w:rsid w:val="30D363D4"/>
    <w:rsid w:val="30E46B3F"/>
    <w:rsid w:val="30F42C57"/>
    <w:rsid w:val="30FD79BE"/>
    <w:rsid w:val="3100405D"/>
    <w:rsid w:val="31055913"/>
    <w:rsid w:val="310F7A81"/>
    <w:rsid w:val="311739F5"/>
    <w:rsid w:val="31174211"/>
    <w:rsid w:val="311F60D7"/>
    <w:rsid w:val="31216170"/>
    <w:rsid w:val="312C20BA"/>
    <w:rsid w:val="31317087"/>
    <w:rsid w:val="31330D64"/>
    <w:rsid w:val="31383FB1"/>
    <w:rsid w:val="3146283D"/>
    <w:rsid w:val="315D1164"/>
    <w:rsid w:val="315F2BB6"/>
    <w:rsid w:val="316E3CCA"/>
    <w:rsid w:val="3173104B"/>
    <w:rsid w:val="3173113F"/>
    <w:rsid w:val="317D6B35"/>
    <w:rsid w:val="31823A6F"/>
    <w:rsid w:val="31902AB1"/>
    <w:rsid w:val="319D0930"/>
    <w:rsid w:val="31A30319"/>
    <w:rsid w:val="31A6662C"/>
    <w:rsid w:val="31B50898"/>
    <w:rsid w:val="31B62FDB"/>
    <w:rsid w:val="31BA2482"/>
    <w:rsid w:val="31BE47CA"/>
    <w:rsid w:val="31D01CA2"/>
    <w:rsid w:val="31DF176C"/>
    <w:rsid w:val="31E8134E"/>
    <w:rsid w:val="31E9101E"/>
    <w:rsid w:val="31F45A41"/>
    <w:rsid w:val="31FF4B7E"/>
    <w:rsid w:val="320A13F1"/>
    <w:rsid w:val="3211002E"/>
    <w:rsid w:val="322268A2"/>
    <w:rsid w:val="323A5F58"/>
    <w:rsid w:val="325E2979"/>
    <w:rsid w:val="32714340"/>
    <w:rsid w:val="32774B5E"/>
    <w:rsid w:val="32955496"/>
    <w:rsid w:val="32983099"/>
    <w:rsid w:val="329C2838"/>
    <w:rsid w:val="32AA5592"/>
    <w:rsid w:val="32AD61A5"/>
    <w:rsid w:val="32B51B69"/>
    <w:rsid w:val="32D0768A"/>
    <w:rsid w:val="32D72997"/>
    <w:rsid w:val="32D74397"/>
    <w:rsid w:val="32E46B67"/>
    <w:rsid w:val="32E67992"/>
    <w:rsid w:val="32E75DA8"/>
    <w:rsid w:val="32F653C3"/>
    <w:rsid w:val="330374F3"/>
    <w:rsid w:val="33052E5A"/>
    <w:rsid w:val="330E07F5"/>
    <w:rsid w:val="33154453"/>
    <w:rsid w:val="332610BF"/>
    <w:rsid w:val="33264C29"/>
    <w:rsid w:val="332E1CCE"/>
    <w:rsid w:val="33405B07"/>
    <w:rsid w:val="334172D7"/>
    <w:rsid w:val="335D1100"/>
    <w:rsid w:val="33632FAB"/>
    <w:rsid w:val="33777FA7"/>
    <w:rsid w:val="337C27BA"/>
    <w:rsid w:val="3386250E"/>
    <w:rsid w:val="339B48EC"/>
    <w:rsid w:val="33A41667"/>
    <w:rsid w:val="33AE1F3D"/>
    <w:rsid w:val="33B42B28"/>
    <w:rsid w:val="33B44D6A"/>
    <w:rsid w:val="33B522EE"/>
    <w:rsid w:val="33C40914"/>
    <w:rsid w:val="33CE61A0"/>
    <w:rsid w:val="33E201D4"/>
    <w:rsid w:val="33E75242"/>
    <w:rsid w:val="33ED42E2"/>
    <w:rsid w:val="33F20139"/>
    <w:rsid w:val="33F90BAA"/>
    <w:rsid w:val="33FB7E97"/>
    <w:rsid w:val="340A7AC7"/>
    <w:rsid w:val="340E373F"/>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86B04"/>
    <w:rsid w:val="34AE2971"/>
    <w:rsid w:val="34AF4693"/>
    <w:rsid w:val="34B10461"/>
    <w:rsid w:val="34BC6DB6"/>
    <w:rsid w:val="34C25E2C"/>
    <w:rsid w:val="34C56823"/>
    <w:rsid w:val="34C946F9"/>
    <w:rsid w:val="34CB25D4"/>
    <w:rsid w:val="34D01825"/>
    <w:rsid w:val="34E25D34"/>
    <w:rsid w:val="34E73243"/>
    <w:rsid w:val="34EF1A6E"/>
    <w:rsid w:val="3509322F"/>
    <w:rsid w:val="350A5D7E"/>
    <w:rsid w:val="3515628F"/>
    <w:rsid w:val="351867D0"/>
    <w:rsid w:val="351F4211"/>
    <w:rsid w:val="35212B53"/>
    <w:rsid w:val="35252DD9"/>
    <w:rsid w:val="35262532"/>
    <w:rsid w:val="353A08BE"/>
    <w:rsid w:val="353D495A"/>
    <w:rsid w:val="35465C18"/>
    <w:rsid w:val="35536DE0"/>
    <w:rsid w:val="35552291"/>
    <w:rsid w:val="35584D6D"/>
    <w:rsid w:val="35591808"/>
    <w:rsid w:val="355A7A28"/>
    <w:rsid w:val="355D135C"/>
    <w:rsid w:val="355D6ED8"/>
    <w:rsid w:val="356863D3"/>
    <w:rsid w:val="356D70C0"/>
    <w:rsid w:val="357039DD"/>
    <w:rsid w:val="35772AE3"/>
    <w:rsid w:val="357B3ABA"/>
    <w:rsid w:val="35810F88"/>
    <w:rsid w:val="358173F3"/>
    <w:rsid w:val="35906EE4"/>
    <w:rsid w:val="35992086"/>
    <w:rsid w:val="35A452E5"/>
    <w:rsid w:val="35A96631"/>
    <w:rsid w:val="35B33C35"/>
    <w:rsid w:val="35B9646A"/>
    <w:rsid w:val="35C21CAF"/>
    <w:rsid w:val="35D0318C"/>
    <w:rsid w:val="35D111DF"/>
    <w:rsid w:val="35D7392F"/>
    <w:rsid w:val="35E46B51"/>
    <w:rsid w:val="35ED5FAA"/>
    <w:rsid w:val="35EF62AF"/>
    <w:rsid w:val="35F13E9C"/>
    <w:rsid w:val="36026EC6"/>
    <w:rsid w:val="36037463"/>
    <w:rsid w:val="361E52A0"/>
    <w:rsid w:val="363209C9"/>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51E34"/>
    <w:rsid w:val="3697517B"/>
    <w:rsid w:val="36A562CA"/>
    <w:rsid w:val="36B42F17"/>
    <w:rsid w:val="36B813FC"/>
    <w:rsid w:val="36C35E2B"/>
    <w:rsid w:val="36C408B4"/>
    <w:rsid w:val="36C95CE3"/>
    <w:rsid w:val="36CA4871"/>
    <w:rsid w:val="36CC13A7"/>
    <w:rsid w:val="36CF2435"/>
    <w:rsid w:val="36D0140B"/>
    <w:rsid w:val="36DE1FDF"/>
    <w:rsid w:val="36E30124"/>
    <w:rsid w:val="36EA0866"/>
    <w:rsid w:val="36F633FE"/>
    <w:rsid w:val="36F7193B"/>
    <w:rsid w:val="37006DA6"/>
    <w:rsid w:val="37022024"/>
    <w:rsid w:val="370E351B"/>
    <w:rsid w:val="371A521A"/>
    <w:rsid w:val="3722586F"/>
    <w:rsid w:val="37226133"/>
    <w:rsid w:val="37252757"/>
    <w:rsid w:val="372B08A8"/>
    <w:rsid w:val="37335775"/>
    <w:rsid w:val="37362012"/>
    <w:rsid w:val="37372456"/>
    <w:rsid w:val="37391007"/>
    <w:rsid w:val="37404B13"/>
    <w:rsid w:val="374107ED"/>
    <w:rsid w:val="374F724C"/>
    <w:rsid w:val="375523E8"/>
    <w:rsid w:val="375A6911"/>
    <w:rsid w:val="3778792A"/>
    <w:rsid w:val="37791406"/>
    <w:rsid w:val="378C59A0"/>
    <w:rsid w:val="378F72DA"/>
    <w:rsid w:val="379A65A9"/>
    <w:rsid w:val="37A15AB9"/>
    <w:rsid w:val="37A51F2C"/>
    <w:rsid w:val="37D1690E"/>
    <w:rsid w:val="37E474EC"/>
    <w:rsid w:val="37E93735"/>
    <w:rsid w:val="37F47C83"/>
    <w:rsid w:val="37FC4441"/>
    <w:rsid w:val="381C5DA5"/>
    <w:rsid w:val="381E6D24"/>
    <w:rsid w:val="381E7251"/>
    <w:rsid w:val="382A53D5"/>
    <w:rsid w:val="383652ED"/>
    <w:rsid w:val="385701A2"/>
    <w:rsid w:val="386844B4"/>
    <w:rsid w:val="386900A2"/>
    <w:rsid w:val="387B2EAE"/>
    <w:rsid w:val="38AC792F"/>
    <w:rsid w:val="38B26B0B"/>
    <w:rsid w:val="38BA270B"/>
    <w:rsid w:val="38BB1341"/>
    <w:rsid w:val="38C44B1C"/>
    <w:rsid w:val="38F23A88"/>
    <w:rsid w:val="3909782E"/>
    <w:rsid w:val="391B3E02"/>
    <w:rsid w:val="392642AC"/>
    <w:rsid w:val="39294974"/>
    <w:rsid w:val="393658EA"/>
    <w:rsid w:val="393B2AA1"/>
    <w:rsid w:val="39452765"/>
    <w:rsid w:val="394579D4"/>
    <w:rsid w:val="39464B68"/>
    <w:rsid w:val="397059EB"/>
    <w:rsid w:val="398028B7"/>
    <w:rsid w:val="398652E8"/>
    <w:rsid w:val="39932E80"/>
    <w:rsid w:val="399C790E"/>
    <w:rsid w:val="39AD0862"/>
    <w:rsid w:val="39C429F4"/>
    <w:rsid w:val="39CD31DF"/>
    <w:rsid w:val="39DF3DBB"/>
    <w:rsid w:val="39F5386F"/>
    <w:rsid w:val="39F8007C"/>
    <w:rsid w:val="39FD1410"/>
    <w:rsid w:val="3A046162"/>
    <w:rsid w:val="3A074B96"/>
    <w:rsid w:val="3A077BDC"/>
    <w:rsid w:val="3A0D4B49"/>
    <w:rsid w:val="3A1528CC"/>
    <w:rsid w:val="3A19437E"/>
    <w:rsid w:val="3A1E2183"/>
    <w:rsid w:val="3A262671"/>
    <w:rsid w:val="3A29061F"/>
    <w:rsid w:val="3A3A0854"/>
    <w:rsid w:val="3A420D92"/>
    <w:rsid w:val="3A4A6214"/>
    <w:rsid w:val="3A4E4899"/>
    <w:rsid w:val="3A612DA4"/>
    <w:rsid w:val="3A6A57DE"/>
    <w:rsid w:val="3A707D13"/>
    <w:rsid w:val="3A79703F"/>
    <w:rsid w:val="3A80410F"/>
    <w:rsid w:val="3A884EA0"/>
    <w:rsid w:val="3A8A0AE3"/>
    <w:rsid w:val="3A8F0F59"/>
    <w:rsid w:val="3A9979BE"/>
    <w:rsid w:val="3A9E1B70"/>
    <w:rsid w:val="3AA12E4E"/>
    <w:rsid w:val="3AB848DE"/>
    <w:rsid w:val="3AD71F6B"/>
    <w:rsid w:val="3AE66876"/>
    <w:rsid w:val="3AF53639"/>
    <w:rsid w:val="3AF67F9A"/>
    <w:rsid w:val="3AFA4B51"/>
    <w:rsid w:val="3B036D81"/>
    <w:rsid w:val="3B0424CA"/>
    <w:rsid w:val="3B16321F"/>
    <w:rsid w:val="3B1738F9"/>
    <w:rsid w:val="3B1D50E8"/>
    <w:rsid w:val="3B2576D0"/>
    <w:rsid w:val="3B2862CD"/>
    <w:rsid w:val="3B2946B0"/>
    <w:rsid w:val="3B3614CA"/>
    <w:rsid w:val="3B3E5A4F"/>
    <w:rsid w:val="3B43612D"/>
    <w:rsid w:val="3B465AAD"/>
    <w:rsid w:val="3B4E375D"/>
    <w:rsid w:val="3B5F1D0C"/>
    <w:rsid w:val="3B633B39"/>
    <w:rsid w:val="3B6C183F"/>
    <w:rsid w:val="3B716826"/>
    <w:rsid w:val="3B82605A"/>
    <w:rsid w:val="3B855374"/>
    <w:rsid w:val="3B8643FB"/>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DF3395"/>
    <w:rsid w:val="3BE85FC8"/>
    <w:rsid w:val="3BF0761E"/>
    <w:rsid w:val="3BFA7995"/>
    <w:rsid w:val="3BFF77BC"/>
    <w:rsid w:val="3C087C73"/>
    <w:rsid w:val="3C0B7004"/>
    <w:rsid w:val="3C1A6E6A"/>
    <w:rsid w:val="3C1D1C7C"/>
    <w:rsid w:val="3C2016F2"/>
    <w:rsid w:val="3C21617B"/>
    <w:rsid w:val="3C224EAA"/>
    <w:rsid w:val="3C2D6092"/>
    <w:rsid w:val="3C350589"/>
    <w:rsid w:val="3C385408"/>
    <w:rsid w:val="3C456A68"/>
    <w:rsid w:val="3C4F16C1"/>
    <w:rsid w:val="3C5D7DF9"/>
    <w:rsid w:val="3C6D3D66"/>
    <w:rsid w:val="3C7E0AFD"/>
    <w:rsid w:val="3C8310DE"/>
    <w:rsid w:val="3C8B14D1"/>
    <w:rsid w:val="3C9249E5"/>
    <w:rsid w:val="3C9A2A62"/>
    <w:rsid w:val="3CA10C94"/>
    <w:rsid w:val="3CA849CB"/>
    <w:rsid w:val="3CAA3F3C"/>
    <w:rsid w:val="3CCB5BC6"/>
    <w:rsid w:val="3CD14649"/>
    <w:rsid w:val="3CD342C8"/>
    <w:rsid w:val="3CE86A1C"/>
    <w:rsid w:val="3CEF1F9E"/>
    <w:rsid w:val="3D03408B"/>
    <w:rsid w:val="3D062484"/>
    <w:rsid w:val="3D10063E"/>
    <w:rsid w:val="3D177553"/>
    <w:rsid w:val="3D193DF3"/>
    <w:rsid w:val="3D1A14AD"/>
    <w:rsid w:val="3D1D3C05"/>
    <w:rsid w:val="3D246E5A"/>
    <w:rsid w:val="3D351806"/>
    <w:rsid w:val="3D49672F"/>
    <w:rsid w:val="3D4A1496"/>
    <w:rsid w:val="3D4E2B83"/>
    <w:rsid w:val="3D4E45E3"/>
    <w:rsid w:val="3D50773D"/>
    <w:rsid w:val="3D551FA4"/>
    <w:rsid w:val="3D59130B"/>
    <w:rsid w:val="3D5C4500"/>
    <w:rsid w:val="3D5C57BD"/>
    <w:rsid w:val="3D6A29D6"/>
    <w:rsid w:val="3D807A26"/>
    <w:rsid w:val="3D842996"/>
    <w:rsid w:val="3D8572F3"/>
    <w:rsid w:val="3D870953"/>
    <w:rsid w:val="3D8B2D9A"/>
    <w:rsid w:val="3D935AC2"/>
    <w:rsid w:val="3D98336D"/>
    <w:rsid w:val="3DA9227E"/>
    <w:rsid w:val="3DAF74FA"/>
    <w:rsid w:val="3DB000E2"/>
    <w:rsid w:val="3DB302F2"/>
    <w:rsid w:val="3DC429E1"/>
    <w:rsid w:val="3DCB24A6"/>
    <w:rsid w:val="3DD4374A"/>
    <w:rsid w:val="3DDD29A0"/>
    <w:rsid w:val="3DE15919"/>
    <w:rsid w:val="3DE976C2"/>
    <w:rsid w:val="3DF95EC3"/>
    <w:rsid w:val="3DFE5953"/>
    <w:rsid w:val="3E143687"/>
    <w:rsid w:val="3E2C005F"/>
    <w:rsid w:val="3E325D1E"/>
    <w:rsid w:val="3E3976D3"/>
    <w:rsid w:val="3E470177"/>
    <w:rsid w:val="3E4905DE"/>
    <w:rsid w:val="3E4C0877"/>
    <w:rsid w:val="3E563B22"/>
    <w:rsid w:val="3E6B7465"/>
    <w:rsid w:val="3E707A7A"/>
    <w:rsid w:val="3E735B9C"/>
    <w:rsid w:val="3E7C330F"/>
    <w:rsid w:val="3E820130"/>
    <w:rsid w:val="3E8558DB"/>
    <w:rsid w:val="3E892D0A"/>
    <w:rsid w:val="3E8B5E97"/>
    <w:rsid w:val="3E9405D5"/>
    <w:rsid w:val="3EA07325"/>
    <w:rsid w:val="3EB9610F"/>
    <w:rsid w:val="3EBB429F"/>
    <w:rsid w:val="3EC949A3"/>
    <w:rsid w:val="3ED92B4F"/>
    <w:rsid w:val="3EDB49C2"/>
    <w:rsid w:val="3EDF3C64"/>
    <w:rsid w:val="3EE21E99"/>
    <w:rsid w:val="3EE275ED"/>
    <w:rsid w:val="3EE6497C"/>
    <w:rsid w:val="3EED30FA"/>
    <w:rsid w:val="3EF459CF"/>
    <w:rsid w:val="3EF62DD7"/>
    <w:rsid w:val="3EFD56E8"/>
    <w:rsid w:val="3F0644E9"/>
    <w:rsid w:val="3F0D093F"/>
    <w:rsid w:val="3F1556CB"/>
    <w:rsid w:val="3F24498F"/>
    <w:rsid w:val="3F2A38EA"/>
    <w:rsid w:val="3F3A2DDC"/>
    <w:rsid w:val="3F4065BB"/>
    <w:rsid w:val="3F42308C"/>
    <w:rsid w:val="3F4C66A1"/>
    <w:rsid w:val="3F4D2D8C"/>
    <w:rsid w:val="3F4F005D"/>
    <w:rsid w:val="3F5C238A"/>
    <w:rsid w:val="3F6468A4"/>
    <w:rsid w:val="3F652907"/>
    <w:rsid w:val="3F7C280B"/>
    <w:rsid w:val="3F86115B"/>
    <w:rsid w:val="3F8C0AE9"/>
    <w:rsid w:val="3F8D1F32"/>
    <w:rsid w:val="3F9360F8"/>
    <w:rsid w:val="3F9506AB"/>
    <w:rsid w:val="3F970FDB"/>
    <w:rsid w:val="3F9C4A09"/>
    <w:rsid w:val="3FA063E1"/>
    <w:rsid w:val="3FA20CED"/>
    <w:rsid w:val="3FBD7207"/>
    <w:rsid w:val="3FC954B3"/>
    <w:rsid w:val="3FCD0087"/>
    <w:rsid w:val="3FCE6DE8"/>
    <w:rsid w:val="3FCF2F1A"/>
    <w:rsid w:val="3FF97E2E"/>
    <w:rsid w:val="400F0089"/>
    <w:rsid w:val="401D1141"/>
    <w:rsid w:val="401E13CD"/>
    <w:rsid w:val="40210CD7"/>
    <w:rsid w:val="402E54E8"/>
    <w:rsid w:val="40326E41"/>
    <w:rsid w:val="40385AA9"/>
    <w:rsid w:val="403B29C9"/>
    <w:rsid w:val="403B3C7C"/>
    <w:rsid w:val="403B53C3"/>
    <w:rsid w:val="403D69B3"/>
    <w:rsid w:val="404558DE"/>
    <w:rsid w:val="407A57A2"/>
    <w:rsid w:val="40814873"/>
    <w:rsid w:val="40834587"/>
    <w:rsid w:val="40902503"/>
    <w:rsid w:val="40A02AED"/>
    <w:rsid w:val="40B773AB"/>
    <w:rsid w:val="40CC1F46"/>
    <w:rsid w:val="40CC2AEC"/>
    <w:rsid w:val="40D1007A"/>
    <w:rsid w:val="40D15D59"/>
    <w:rsid w:val="40D506EB"/>
    <w:rsid w:val="40D96DD7"/>
    <w:rsid w:val="40E32E0B"/>
    <w:rsid w:val="40F712C9"/>
    <w:rsid w:val="41055B22"/>
    <w:rsid w:val="41143DA3"/>
    <w:rsid w:val="41145094"/>
    <w:rsid w:val="4139101E"/>
    <w:rsid w:val="413C6D9E"/>
    <w:rsid w:val="41454EA2"/>
    <w:rsid w:val="415347E5"/>
    <w:rsid w:val="415D1084"/>
    <w:rsid w:val="41783809"/>
    <w:rsid w:val="418B104E"/>
    <w:rsid w:val="419516DC"/>
    <w:rsid w:val="41A86359"/>
    <w:rsid w:val="41AA5A16"/>
    <w:rsid w:val="41AA6FCA"/>
    <w:rsid w:val="41AF00E5"/>
    <w:rsid w:val="41B350D7"/>
    <w:rsid w:val="41B77440"/>
    <w:rsid w:val="41C52353"/>
    <w:rsid w:val="41CC3927"/>
    <w:rsid w:val="41D00D55"/>
    <w:rsid w:val="42013392"/>
    <w:rsid w:val="420A42D5"/>
    <w:rsid w:val="421173AB"/>
    <w:rsid w:val="421604DA"/>
    <w:rsid w:val="42171951"/>
    <w:rsid w:val="42297EA4"/>
    <w:rsid w:val="42496B67"/>
    <w:rsid w:val="424A226E"/>
    <w:rsid w:val="424A673F"/>
    <w:rsid w:val="42521E1D"/>
    <w:rsid w:val="425C52D8"/>
    <w:rsid w:val="42617455"/>
    <w:rsid w:val="42686C63"/>
    <w:rsid w:val="427310D3"/>
    <w:rsid w:val="427A3678"/>
    <w:rsid w:val="427E642B"/>
    <w:rsid w:val="42965BBA"/>
    <w:rsid w:val="429B42D2"/>
    <w:rsid w:val="42A2426A"/>
    <w:rsid w:val="42A551B5"/>
    <w:rsid w:val="42A82840"/>
    <w:rsid w:val="42A82BE8"/>
    <w:rsid w:val="42AA7ACD"/>
    <w:rsid w:val="42AD59F0"/>
    <w:rsid w:val="42AE673F"/>
    <w:rsid w:val="42B765A5"/>
    <w:rsid w:val="42BF1A0E"/>
    <w:rsid w:val="42C52579"/>
    <w:rsid w:val="42C927DF"/>
    <w:rsid w:val="42DC2B30"/>
    <w:rsid w:val="42DC56B2"/>
    <w:rsid w:val="42E51B24"/>
    <w:rsid w:val="42E7624C"/>
    <w:rsid w:val="42E84AD3"/>
    <w:rsid w:val="42EC3FE2"/>
    <w:rsid w:val="430704FF"/>
    <w:rsid w:val="43124C8D"/>
    <w:rsid w:val="43166EE4"/>
    <w:rsid w:val="43290253"/>
    <w:rsid w:val="432B2F7F"/>
    <w:rsid w:val="432F74E7"/>
    <w:rsid w:val="4335013C"/>
    <w:rsid w:val="433930DA"/>
    <w:rsid w:val="433A276B"/>
    <w:rsid w:val="433D027C"/>
    <w:rsid w:val="433D0BFC"/>
    <w:rsid w:val="433F610A"/>
    <w:rsid w:val="43434724"/>
    <w:rsid w:val="4353588D"/>
    <w:rsid w:val="4355636B"/>
    <w:rsid w:val="43670F1D"/>
    <w:rsid w:val="4373608B"/>
    <w:rsid w:val="43760E30"/>
    <w:rsid w:val="437E013B"/>
    <w:rsid w:val="439259D2"/>
    <w:rsid w:val="439B4E7F"/>
    <w:rsid w:val="43AE5B17"/>
    <w:rsid w:val="43AF636A"/>
    <w:rsid w:val="43C6345B"/>
    <w:rsid w:val="43D13E89"/>
    <w:rsid w:val="43E3508A"/>
    <w:rsid w:val="43E80F3D"/>
    <w:rsid w:val="43EB4BFE"/>
    <w:rsid w:val="43EE0ECC"/>
    <w:rsid w:val="43F4135D"/>
    <w:rsid w:val="43F71F07"/>
    <w:rsid w:val="43F7500D"/>
    <w:rsid w:val="440059EF"/>
    <w:rsid w:val="44005E7B"/>
    <w:rsid w:val="44013179"/>
    <w:rsid w:val="4407431A"/>
    <w:rsid w:val="44081276"/>
    <w:rsid w:val="44082154"/>
    <w:rsid w:val="44134924"/>
    <w:rsid w:val="441E042F"/>
    <w:rsid w:val="4422594A"/>
    <w:rsid w:val="442A622B"/>
    <w:rsid w:val="443950F3"/>
    <w:rsid w:val="443A0BF2"/>
    <w:rsid w:val="4452245F"/>
    <w:rsid w:val="445E0466"/>
    <w:rsid w:val="445E167A"/>
    <w:rsid w:val="44614A61"/>
    <w:rsid w:val="447A4BFE"/>
    <w:rsid w:val="447E79EC"/>
    <w:rsid w:val="447F3FBD"/>
    <w:rsid w:val="448F6395"/>
    <w:rsid w:val="4492631A"/>
    <w:rsid w:val="449342E9"/>
    <w:rsid w:val="449C7D71"/>
    <w:rsid w:val="44B67F44"/>
    <w:rsid w:val="44BB68BF"/>
    <w:rsid w:val="44C70D28"/>
    <w:rsid w:val="44CA6E76"/>
    <w:rsid w:val="44EE6174"/>
    <w:rsid w:val="44EF1836"/>
    <w:rsid w:val="44F6488D"/>
    <w:rsid w:val="44FC2960"/>
    <w:rsid w:val="45026AC6"/>
    <w:rsid w:val="45044A12"/>
    <w:rsid w:val="450874C4"/>
    <w:rsid w:val="45282A9A"/>
    <w:rsid w:val="452B6A1A"/>
    <w:rsid w:val="45334A20"/>
    <w:rsid w:val="453C14B9"/>
    <w:rsid w:val="45481632"/>
    <w:rsid w:val="455238CA"/>
    <w:rsid w:val="4589448D"/>
    <w:rsid w:val="45A9516E"/>
    <w:rsid w:val="45AB4A0D"/>
    <w:rsid w:val="45B25628"/>
    <w:rsid w:val="45DF4749"/>
    <w:rsid w:val="45E86354"/>
    <w:rsid w:val="45E86370"/>
    <w:rsid w:val="45EE35A4"/>
    <w:rsid w:val="45F24EF7"/>
    <w:rsid w:val="45F56503"/>
    <w:rsid w:val="45FC5A69"/>
    <w:rsid w:val="45FD5369"/>
    <w:rsid w:val="460556A8"/>
    <w:rsid w:val="46125B36"/>
    <w:rsid w:val="461E4FA6"/>
    <w:rsid w:val="461F5C6B"/>
    <w:rsid w:val="46283AA1"/>
    <w:rsid w:val="46300C9E"/>
    <w:rsid w:val="4634196D"/>
    <w:rsid w:val="463A5899"/>
    <w:rsid w:val="464F0483"/>
    <w:rsid w:val="46524CAD"/>
    <w:rsid w:val="4654512D"/>
    <w:rsid w:val="465B3C93"/>
    <w:rsid w:val="46606872"/>
    <w:rsid w:val="46610707"/>
    <w:rsid w:val="46637EA6"/>
    <w:rsid w:val="466937C7"/>
    <w:rsid w:val="466B2CC7"/>
    <w:rsid w:val="466C195C"/>
    <w:rsid w:val="466E39B1"/>
    <w:rsid w:val="46750952"/>
    <w:rsid w:val="467C479B"/>
    <w:rsid w:val="46A73AA5"/>
    <w:rsid w:val="46AA01AA"/>
    <w:rsid w:val="46BC2C14"/>
    <w:rsid w:val="46C30058"/>
    <w:rsid w:val="46C37319"/>
    <w:rsid w:val="46CE7B8B"/>
    <w:rsid w:val="46D32B82"/>
    <w:rsid w:val="46DC1BCB"/>
    <w:rsid w:val="46F4701B"/>
    <w:rsid w:val="470567D9"/>
    <w:rsid w:val="470F3F48"/>
    <w:rsid w:val="4711691D"/>
    <w:rsid w:val="47205FEA"/>
    <w:rsid w:val="47481121"/>
    <w:rsid w:val="474A50F5"/>
    <w:rsid w:val="475B7278"/>
    <w:rsid w:val="47644F43"/>
    <w:rsid w:val="476843F5"/>
    <w:rsid w:val="47696A2A"/>
    <w:rsid w:val="477A3C84"/>
    <w:rsid w:val="477D700D"/>
    <w:rsid w:val="478A2784"/>
    <w:rsid w:val="47997564"/>
    <w:rsid w:val="47A738C8"/>
    <w:rsid w:val="47B75BF9"/>
    <w:rsid w:val="47E44CFB"/>
    <w:rsid w:val="47E52D99"/>
    <w:rsid w:val="47ED37DA"/>
    <w:rsid w:val="47F075B7"/>
    <w:rsid w:val="47F31436"/>
    <w:rsid w:val="48077E27"/>
    <w:rsid w:val="48083C5D"/>
    <w:rsid w:val="480E6FE4"/>
    <w:rsid w:val="48117517"/>
    <w:rsid w:val="48246406"/>
    <w:rsid w:val="482C5318"/>
    <w:rsid w:val="482F1D5A"/>
    <w:rsid w:val="483742B0"/>
    <w:rsid w:val="48376C36"/>
    <w:rsid w:val="483A7502"/>
    <w:rsid w:val="48444BA9"/>
    <w:rsid w:val="484F0FE1"/>
    <w:rsid w:val="486402EB"/>
    <w:rsid w:val="487218F4"/>
    <w:rsid w:val="48724504"/>
    <w:rsid w:val="48746BBB"/>
    <w:rsid w:val="487813DE"/>
    <w:rsid w:val="48844E91"/>
    <w:rsid w:val="48934611"/>
    <w:rsid w:val="48B41F28"/>
    <w:rsid w:val="48C5597C"/>
    <w:rsid w:val="48F542D2"/>
    <w:rsid w:val="48FA1915"/>
    <w:rsid w:val="48FD06CC"/>
    <w:rsid w:val="49005B36"/>
    <w:rsid w:val="490172CD"/>
    <w:rsid w:val="49057839"/>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906DC0"/>
    <w:rsid w:val="49B1336E"/>
    <w:rsid w:val="49D3414A"/>
    <w:rsid w:val="49D815D6"/>
    <w:rsid w:val="49D816F4"/>
    <w:rsid w:val="49E52DCB"/>
    <w:rsid w:val="49EB1CD3"/>
    <w:rsid w:val="49FD72F4"/>
    <w:rsid w:val="49FF7393"/>
    <w:rsid w:val="4A0412B7"/>
    <w:rsid w:val="4A093431"/>
    <w:rsid w:val="4A144E85"/>
    <w:rsid w:val="4A247675"/>
    <w:rsid w:val="4A38213A"/>
    <w:rsid w:val="4A400586"/>
    <w:rsid w:val="4A4959AB"/>
    <w:rsid w:val="4A5A0B67"/>
    <w:rsid w:val="4A5B01F1"/>
    <w:rsid w:val="4A703563"/>
    <w:rsid w:val="4A742551"/>
    <w:rsid w:val="4A762AB8"/>
    <w:rsid w:val="4A7A7FC5"/>
    <w:rsid w:val="4A7B711D"/>
    <w:rsid w:val="4A84675D"/>
    <w:rsid w:val="4A8A74FA"/>
    <w:rsid w:val="4A8C3A1A"/>
    <w:rsid w:val="4AAA3C68"/>
    <w:rsid w:val="4AB23CDE"/>
    <w:rsid w:val="4AB377ED"/>
    <w:rsid w:val="4AB7491D"/>
    <w:rsid w:val="4AC23C99"/>
    <w:rsid w:val="4AE23B49"/>
    <w:rsid w:val="4AE709A1"/>
    <w:rsid w:val="4AF15C07"/>
    <w:rsid w:val="4AF63C83"/>
    <w:rsid w:val="4AFC516F"/>
    <w:rsid w:val="4B037180"/>
    <w:rsid w:val="4B1646CF"/>
    <w:rsid w:val="4B28747E"/>
    <w:rsid w:val="4B3744E5"/>
    <w:rsid w:val="4B447E0E"/>
    <w:rsid w:val="4B48137F"/>
    <w:rsid w:val="4B6A78F2"/>
    <w:rsid w:val="4B7C1338"/>
    <w:rsid w:val="4B975530"/>
    <w:rsid w:val="4B9D35E2"/>
    <w:rsid w:val="4BA47C57"/>
    <w:rsid w:val="4BA95E82"/>
    <w:rsid w:val="4BAA114F"/>
    <w:rsid w:val="4BAA4032"/>
    <w:rsid w:val="4BAD3304"/>
    <w:rsid w:val="4BB6126F"/>
    <w:rsid w:val="4BB7755B"/>
    <w:rsid w:val="4BC34D70"/>
    <w:rsid w:val="4BC430FB"/>
    <w:rsid w:val="4BD758EF"/>
    <w:rsid w:val="4BD86338"/>
    <w:rsid w:val="4BDB4835"/>
    <w:rsid w:val="4BE048F6"/>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5D082E"/>
    <w:rsid w:val="4C6241E3"/>
    <w:rsid w:val="4C6369A7"/>
    <w:rsid w:val="4C644BBF"/>
    <w:rsid w:val="4C653585"/>
    <w:rsid w:val="4C6A2EA1"/>
    <w:rsid w:val="4C6C14CD"/>
    <w:rsid w:val="4C6C224A"/>
    <w:rsid w:val="4C787DD0"/>
    <w:rsid w:val="4C7C366B"/>
    <w:rsid w:val="4C7D636D"/>
    <w:rsid w:val="4C873E85"/>
    <w:rsid w:val="4CA35F11"/>
    <w:rsid w:val="4CC823ED"/>
    <w:rsid w:val="4CC82FE7"/>
    <w:rsid w:val="4CCA6C73"/>
    <w:rsid w:val="4CCB0ABF"/>
    <w:rsid w:val="4CCC0ECB"/>
    <w:rsid w:val="4CD6703B"/>
    <w:rsid w:val="4CDB61F9"/>
    <w:rsid w:val="4CDC38B2"/>
    <w:rsid w:val="4CE446FA"/>
    <w:rsid w:val="4CFC55B3"/>
    <w:rsid w:val="4D025460"/>
    <w:rsid w:val="4D1E6E23"/>
    <w:rsid w:val="4D240698"/>
    <w:rsid w:val="4D471B04"/>
    <w:rsid w:val="4D48759A"/>
    <w:rsid w:val="4D4D1D0E"/>
    <w:rsid w:val="4D5A1E97"/>
    <w:rsid w:val="4D6C0FE8"/>
    <w:rsid w:val="4D78084A"/>
    <w:rsid w:val="4D792A29"/>
    <w:rsid w:val="4D883433"/>
    <w:rsid w:val="4D8F00A4"/>
    <w:rsid w:val="4D901976"/>
    <w:rsid w:val="4D93060B"/>
    <w:rsid w:val="4D9A669F"/>
    <w:rsid w:val="4D9B1DA2"/>
    <w:rsid w:val="4DA25154"/>
    <w:rsid w:val="4DA37517"/>
    <w:rsid w:val="4DAA2A9B"/>
    <w:rsid w:val="4DB96FE3"/>
    <w:rsid w:val="4DC22045"/>
    <w:rsid w:val="4DC73899"/>
    <w:rsid w:val="4DD7573E"/>
    <w:rsid w:val="4DE20D4D"/>
    <w:rsid w:val="4DEA04F2"/>
    <w:rsid w:val="4DED1E2C"/>
    <w:rsid w:val="4E0F7EF2"/>
    <w:rsid w:val="4E137686"/>
    <w:rsid w:val="4E1858BC"/>
    <w:rsid w:val="4E192FF3"/>
    <w:rsid w:val="4E1B2CF6"/>
    <w:rsid w:val="4E1D6909"/>
    <w:rsid w:val="4E214745"/>
    <w:rsid w:val="4E27060C"/>
    <w:rsid w:val="4E38025C"/>
    <w:rsid w:val="4E3A3E5C"/>
    <w:rsid w:val="4E5737A4"/>
    <w:rsid w:val="4E63488E"/>
    <w:rsid w:val="4E6B1C67"/>
    <w:rsid w:val="4E7F5FA8"/>
    <w:rsid w:val="4E876A80"/>
    <w:rsid w:val="4E881A6F"/>
    <w:rsid w:val="4E900192"/>
    <w:rsid w:val="4E9D3F9D"/>
    <w:rsid w:val="4EB46112"/>
    <w:rsid w:val="4EBA6B3A"/>
    <w:rsid w:val="4ECC4E51"/>
    <w:rsid w:val="4ED06DA8"/>
    <w:rsid w:val="4ED20DC7"/>
    <w:rsid w:val="4EEB259A"/>
    <w:rsid w:val="4EED0EC0"/>
    <w:rsid w:val="4EEF5220"/>
    <w:rsid w:val="4EF4193D"/>
    <w:rsid w:val="4EF6402D"/>
    <w:rsid w:val="4F0432A1"/>
    <w:rsid w:val="4F05572E"/>
    <w:rsid w:val="4F0B1984"/>
    <w:rsid w:val="4F135353"/>
    <w:rsid w:val="4F153A2F"/>
    <w:rsid w:val="4F1A2EA9"/>
    <w:rsid w:val="4F1B3724"/>
    <w:rsid w:val="4F1D0E4A"/>
    <w:rsid w:val="4F430F16"/>
    <w:rsid w:val="4F4560DA"/>
    <w:rsid w:val="4F4A1B00"/>
    <w:rsid w:val="4F5B6DE0"/>
    <w:rsid w:val="4F666FA3"/>
    <w:rsid w:val="4F6B59DE"/>
    <w:rsid w:val="4F6F7BAE"/>
    <w:rsid w:val="4F9A4993"/>
    <w:rsid w:val="4FA325A6"/>
    <w:rsid w:val="4FA56BCD"/>
    <w:rsid w:val="4FA83E2A"/>
    <w:rsid w:val="4FA844A2"/>
    <w:rsid w:val="4FBF1357"/>
    <w:rsid w:val="4FC42854"/>
    <w:rsid w:val="4FC621F2"/>
    <w:rsid w:val="4FDF029D"/>
    <w:rsid w:val="4FE76145"/>
    <w:rsid w:val="4FF92635"/>
    <w:rsid w:val="500C6791"/>
    <w:rsid w:val="50122C06"/>
    <w:rsid w:val="50151C34"/>
    <w:rsid w:val="50194853"/>
    <w:rsid w:val="501A1377"/>
    <w:rsid w:val="50250986"/>
    <w:rsid w:val="502C6FDC"/>
    <w:rsid w:val="50317770"/>
    <w:rsid w:val="503C1ED5"/>
    <w:rsid w:val="503C1FA1"/>
    <w:rsid w:val="503C72D7"/>
    <w:rsid w:val="503D204E"/>
    <w:rsid w:val="505E14C8"/>
    <w:rsid w:val="50621D1D"/>
    <w:rsid w:val="50660A6D"/>
    <w:rsid w:val="50731582"/>
    <w:rsid w:val="509A2E32"/>
    <w:rsid w:val="509F5FAB"/>
    <w:rsid w:val="50D0779D"/>
    <w:rsid w:val="50FA3771"/>
    <w:rsid w:val="50FD0E66"/>
    <w:rsid w:val="510B565B"/>
    <w:rsid w:val="510D7020"/>
    <w:rsid w:val="51120212"/>
    <w:rsid w:val="51144DFE"/>
    <w:rsid w:val="511869DC"/>
    <w:rsid w:val="51214932"/>
    <w:rsid w:val="512D39B1"/>
    <w:rsid w:val="512E1A85"/>
    <w:rsid w:val="513D3E59"/>
    <w:rsid w:val="51482EA1"/>
    <w:rsid w:val="5149740B"/>
    <w:rsid w:val="514E06C0"/>
    <w:rsid w:val="515446E1"/>
    <w:rsid w:val="516119DC"/>
    <w:rsid w:val="51655D6D"/>
    <w:rsid w:val="516F3D88"/>
    <w:rsid w:val="51756A8F"/>
    <w:rsid w:val="51773214"/>
    <w:rsid w:val="517E58F2"/>
    <w:rsid w:val="518946CE"/>
    <w:rsid w:val="518F35F9"/>
    <w:rsid w:val="519227B6"/>
    <w:rsid w:val="51A646BE"/>
    <w:rsid w:val="51A86CBD"/>
    <w:rsid w:val="51AA122A"/>
    <w:rsid w:val="51AD2B6D"/>
    <w:rsid w:val="51B52E1B"/>
    <w:rsid w:val="51B86D5F"/>
    <w:rsid w:val="51BD4371"/>
    <w:rsid w:val="51BF72D0"/>
    <w:rsid w:val="51C47D1F"/>
    <w:rsid w:val="51CA619A"/>
    <w:rsid w:val="51D10C5E"/>
    <w:rsid w:val="51F704C3"/>
    <w:rsid w:val="520C4D50"/>
    <w:rsid w:val="52184844"/>
    <w:rsid w:val="52196CD6"/>
    <w:rsid w:val="522457AB"/>
    <w:rsid w:val="52273196"/>
    <w:rsid w:val="523304CA"/>
    <w:rsid w:val="524220E9"/>
    <w:rsid w:val="524C456B"/>
    <w:rsid w:val="52532D7F"/>
    <w:rsid w:val="52686954"/>
    <w:rsid w:val="526F7059"/>
    <w:rsid w:val="527427EF"/>
    <w:rsid w:val="528D1690"/>
    <w:rsid w:val="528D53DC"/>
    <w:rsid w:val="52A54636"/>
    <w:rsid w:val="52BD2046"/>
    <w:rsid w:val="52CB4016"/>
    <w:rsid w:val="52D108EE"/>
    <w:rsid w:val="52D20B31"/>
    <w:rsid w:val="52EF040E"/>
    <w:rsid w:val="52FE7BF3"/>
    <w:rsid w:val="53083AA3"/>
    <w:rsid w:val="53210995"/>
    <w:rsid w:val="532F5A3F"/>
    <w:rsid w:val="53396D3A"/>
    <w:rsid w:val="5346574A"/>
    <w:rsid w:val="534D653A"/>
    <w:rsid w:val="53674B46"/>
    <w:rsid w:val="536871EA"/>
    <w:rsid w:val="536A6F68"/>
    <w:rsid w:val="5383171F"/>
    <w:rsid w:val="53974135"/>
    <w:rsid w:val="53A76CC1"/>
    <w:rsid w:val="53A84A9F"/>
    <w:rsid w:val="53BC7516"/>
    <w:rsid w:val="53C07D08"/>
    <w:rsid w:val="53C31DF3"/>
    <w:rsid w:val="53D94927"/>
    <w:rsid w:val="53E0582A"/>
    <w:rsid w:val="53EB0CCB"/>
    <w:rsid w:val="53F07779"/>
    <w:rsid w:val="53F448C8"/>
    <w:rsid w:val="53F45339"/>
    <w:rsid w:val="53F823CE"/>
    <w:rsid w:val="53FA0BE3"/>
    <w:rsid w:val="53FA111D"/>
    <w:rsid w:val="540B6880"/>
    <w:rsid w:val="541479FF"/>
    <w:rsid w:val="541628DC"/>
    <w:rsid w:val="54243EFD"/>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53A4"/>
    <w:rsid w:val="55243511"/>
    <w:rsid w:val="552618F5"/>
    <w:rsid w:val="55372791"/>
    <w:rsid w:val="553E014E"/>
    <w:rsid w:val="554C5EF1"/>
    <w:rsid w:val="5554735D"/>
    <w:rsid w:val="55563B6B"/>
    <w:rsid w:val="555B1AF6"/>
    <w:rsid w:val="556D0395"/>
    <w:rsid w:val="55733033"/>
    <w:rsid w:val="55754396"/>
    <w:rsid w:val="557645CB"/>
    <w:rsid w:val="55783BA2"/>
    <w:rsid w:val="5579639E"/>
    <w:rsid w:val="557E3DE9"/>
    <w:rsid w:val="558B3FD6"/>
    <w:rsid w:val="559011CA"/>
    <w:rsid w:val="559D62B8"/>
    <w:rsid w:val="55A3343F"/>
    <w:rsid w:val="55AE4018"/>
    <w:rsid w:val="55C94CAE"/>
    <w:rsid w:val="55DB2D44"/>
    <w:rsid w:val="55DB6A9C"/>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8A7FA4"/>
    <w:rsid w:val="56952F1F"/>
    <w:rsid w:val="56A52A5E"/>
    <w:rsid w:val="56B340F6"/>
    <w:rsid w:val="56C60F9A"/>
    <w:rsid w:val="56CA6C7D"/>
    <w:rsid w:val="56CC2E7C"/>
    <w:rsid w:val="56CC7516"/>
    <w:rsid w:val="56D06CBC"/>
    <w:rsid w:val="56D3702B"/>
    <w:rsid w:val="56D9390D"/>
    <w:rsid w:val="56E13AAA"/>
    <w:rsid w:val="56E3210E"/>
    <w:rsid w:val="56E95C47"/>
    <w:rsid w:val="56F04979"/>
    <w:rsid w:val="570D2CE4"/>
    <w:rsid w:val="571E0567"/>
    <w:rsid w:val="572D6D7C"/>
    <w:rsid w:val="57382C2D"/>
    <w:rsid w:val="573F7625"/>
    <w:rsid w:val="57417C3F"/>
    <w:rsid w:val="57423A5C"/>
    <w:rsid w:val="57492040"/>
    <w:rsid w:val="57607C5D"/>
    <w:rsid w:val="576870CE"/>
    <w:rsid w:val="57876C6C"/>
    <w:rsid w:val="578F7E8B"/>
    <w:rsid w:val="579025E4"/>
    <w:rsid w:val="57980429"/>
    <w:rsid w:val="57B13971"/>
    <w:rsid w:val="57B31599"/>
    <w:rsid w:val="57BE7879"/>
    <w:rsid w:val="57C60660"/>
    <w:rsid w:val="57E717C2"/>
    <w:rsid w:val="57E8396F"/>
    <w:rsid w:val="57F63CB0"/>
    <w:rsid w:val="580A6283"/>
    <w:rsid w:val="580F6546"/>
    <w:rsid w:val="582F3637"/>
    <w:rsid w:val="58340044"/>
    <w:rsid w:val="58427828"/>
    <w:rsid w:val="58523AB6"/>
    <w:rsid w:val="587C03F2"/>
    <w:rsid w:val="58807131"/>
    <w:rsid w:val="58845988"/>
    <w:rsid w:val="588E455C"/>
    <w:rsid w:val="58BB759A"/>
    <w:rsid w:val="58D632E1"/>
    <w:rsid w:val="58D65D7A"/>
    <w:rsid w:val="58DA752D"/>
    <w:rsid w:val="58EE43A5"/>
    <w:rsid w:val="59011906"/>
    <w:rsid w:val="59252920"/>
    <w:rsid w:val="59324A93"/>
    <w:rsid w:val="59330283"/>
    <w:rsid w:val="59427FB9"/>
    <w:rsid w:val="594A5E3F"/>
    <w:rsid w:val="595632B0"/>
    <w:rsid w:val="59575EB6"/>
    <w:rsid w:val="59577618"/>
    <w:rsid w:val="595D1330"/>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71BF9"/>
    <w:rsid w:val="5A7D1738"/>
    <w:rsid w:val="5A830B4F"/>
    <w:rsid w:val="5A895545"/>
    <w:rsid w:val="5A8A0CCF"/>
    <w:rsid w:val="5AA24E45"/>
    <w:rsid w:val="5AA61FE7"/>
    <w:rsid w:val="5AB511E0"/>
    <w:rsid w:val="5AB75F83"/>
    <w:rsid w:val="5AC73AE1"/>
    <w:rsid w:val="5AD74F05"/>
    <w:rsid w:val="5AE10DCB"/>
    <w:rsid w:val="5AF53485"/>
    <w:rsid w:val="5B0F1D02"/>
    <w:rsid w:val="5B167C07"/>
    <w:rsid w:val="5B17528B"/>
    <w:rsid w:val="5B1A262B"/>
    <w:rsid w:val="5B24073B"/>
    <w:rsid w:val="5B265952"/>
    <w:rsid w:val="5B2D5706"/>
    <w:rsid w:val="5B315B1B"/>
    <w:rsid w:val="5B3B4DA7"/>
    <w:rsid w:val="5B3E3B02"/>
    <w:rsid w:val="5B487FEA"/>
    <w:rsid w:val="5B4A5628"/>
    <w:rsid w:val="5B524538"/>
    <w:rsid w:val="5B531472"/>
    <w:rsid w:val="5B73264B"/>
    <w:rsid w:val="5B734215"/>
    <w:rsid w:val="5BAC57D5"/>
    <w:rsid w:val="5BB60E07"/>
    <w:rsid w:val="5BB85E2E"/>
    <w:rsid w:val="5BC05C7E"/>
    <w:rsid w:val="5BC154FF"/>
    <w:rsid w:val="5BCE1DEC"/>
    <w:rsid w:val="5BE775DF"/>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8B607F"/>
    <w:rsid w:val="5C983A14"/>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060C7"/>
    <w:rsid w:val="5D4727AF"/>
    <w:rsid w:val="5D5501F2"/>
    <w:rsid w:val="5D74023B"/>
    <w:rsid w:val="5D76003E"/>
    <w:rsid w:val="5D7B27AE"/>
    <w:rsid w:val="5D936A3C"/>
    <w:rsid w:val="5DA22BE3"/>
    <w:rsid w:val="5DA232D1"/>
    <w:rsid w:val="5DB0276A"/>
    <w:rsid w:val="5DB256B2"/>
    <w:rsid w:val="5DC45F94"/>
    <w:rsid w:val="5DC66B74"/>
    <w:rsid w:val="5DCA5651"/>
    <w:rsid w:val="5DDC1DA0"/>
    <w:rsid w:val="5DF94359"/>
    <w:rsid w:val="5DFD58F6"/>
    <w:rsid w:val="5E104740"/>
    <w:rsid w:val="5E294D98"/>
    <w:rsid w:val="5E2D6716"/>
    <w:rsid w:val="5E3A6B57"/>
    <w:rsid w:val="5E3B4227"/>
    <w:rsid w:val="5E3C4BD7"/>
    <w:rsid w:val="5E53415C"/>
    <w:rsid w:val="5E563B5E"/>
    <w:rsid w:val="5E654B94"/>
    <w:rsid w:val="5E671789"/>
    <w:rsid w:val="5E6A2D60"/>
    <w:rsid w:val="5E732AED"/>
    <w:rsid w:val="5E73467B"/>
    <w:rsid w:val="5E745546"/>
    <w:rsid w:val="5E7625CA"/>
    <w:rsid w:val="5E7D69ED"/>
    <w:rsid w:val="5E7F6E97"/>
    <w:rsid w:val="5E81650A"/>
    <w:rsid w:val="5E9B6F9B"/>
    <w:rsid w:val="5EAC18A7"/>
    <w:rsid w:val="5EC41C59"/>
    <w:rsid w:val="5EC76D0B"/>
    <w:rsid w:val="5ECE020E"/>
    <w:rsid w:val="5EDF234F"/>
    <w:rsid w:val="5EE1348F"/>
    <w:rsid w:val="5EEC4531"/>
    <w:rsid w:val="5EF03005"/>
    <w:rsid w:val="5EFF31B8"/>
    <w:rsid w:val="5F0D2DE4"/>
    <w:rsid w:val="5F0D6C84"/>
    <w:rsid w:val="5F1B5F77"/>
    <w:rsid w:val="5F2754A3"/>
    <w:rsid w:val="5F287E0B"/>
    <w:rsid w:val="5F2A3F9F"/>
    <w:rsid w:val="5F306744"/>
    <w:rsid w:val="5F417E0E"/>
    <w:rsid w:val="5F4A55C6"/>
    <w:rsid w:val="5F4B3D65"/>
    <w:rsid w:val="5F5A0BD2"/>
    <w:rsid w:val="5F6930D0"/>
    <w:rsid w:val="5F6A388F"/>
    <w:rsid w:val="5F702AE8"/>
    <w:rsid w:val="5F744282"/>
    <w:rsid w:val="5F7543B4"/>
    <w:rsid w:val="5F8A2AF4"/>
    <w:rsid w:val="5FBF3FC2"/>
    <w:rsid w:val="5FC40B48"/>
    <w:rsid w:val="5FC41F4F"/>
    <w:rsid w:val="5FD80461"/>
    <w:rsid w:val="5FDF1EF7"/>
    <w:rsid w:val="5FE93E1D"/>
    <w:rsid w:val="5FF529AA"/>
    <w:rsid w:val="60022F17"/>
    <w:rsid w:val="60084D6A"/>
    <w:rsid w:val="601023F1"/>
    <w:rsid w:val="601375A8"/>
    <w:rsid w:val="601379BB"/>
    <w:rsid w:val="601C086A"/>
    <w:rsid w:val="6020666D"/>
    <w:rsid w:val="602316C2"/>
    <w:rsid w:val="602A1B86"/>
    <w:rsid w:val="603713E2"/>
    <w:rsid w:val="603B2CE8"/>
    <w:rsid w:val="6041753E"/>
    <w:rsid w:val="60497D52"/>
    <w:rsid w:val="604A613E"/>
    <w:rsid w:val="605B0E16"/>
    <w:rsid w:val="605B7C24"/>
    <w:rsid w:val="6060310C"/>
    <w:rsid w:val="606625D3"/>
    <w:rsid w:val="606771FC"/>
    <w:rsid w:val="60734C44"/>
    <w:rsid w:val="608E127D"/>
    <w:rsid w:val="60982227"/>
    <w:rsid w:val="60A26AC3"/>
    <w:rsid w:val="60AA06D8"/>
    <w:rsid w:val="60D77C1B"/>
    <w:rsid w:val="60E5198E"/>
    <w:rsid w:val="60F46F08"/>
    <w:rsid w:val="610E5299"/>
    <w:rsid w:val="61184EA6"/>
    <w:rsid w:val="611E6A1D"/>
    <w:rsid w:val="613258E7"/>
    <w:rsid w:val="613B0519"/>
    <w:rsid w:val="61426594"/>
    <w:rsid w:val="614F7714"/>
    <w:rsid w:val="614F79E9"/>
    <w:rsid w:val="615F2167"/>
    <w:rsid w:val="615F7D6A"/>
    <w:rsid w:val="616048EE"/>
    <w:rsid w:val="61653414"/>
    <w:rsid w:val="61775B03"/>
    <w:rsid w:val="61787C76"/>
    <w:rsid w:val="617D2724"/>
    <w:rsid w:val="618326D5"/>
    <w:rsid w:val="6192024E"/>
    <w:rsid w:val="61DE1F1F"/>
    <w:rsid w:val="61F155B4"/>
    <w:rsid w:val="620058CC"/>
    <w:rsid w:val="62010932"/>
    <w:rsid w:val="62175873"/>
    <w:rsid w:val="621A2AEC"/>
    <w:rsid w:val="621D3DE0"/>
    <w:rsid w:val="62204A9C"/>
    <w:rsid w:val="62396AE1"/>
    <w:rsid w:val="623D3F36"/>
    <w:rsid w:val="624D069F"/>
    <w:rsid w:val="625A3A2B"/>
    <w:rsid w:val="62641E35"/>
    <w:rsid w:val="627C72CC"/>
    <w:rsid w:val="628B380A"/>
    <w:rsid w:val="62A86AE4"/>
    <w:rsid w:val="62B6094A"/>
    <w:rsid w:val="62C90639"/>
    <w:rsid w:val="62DF20A9"/>
    <w:rsid w:val="62E54C39"/>
    <w:rsid w:val="62EB578C"/>
    <w:rsid w:val="62F167F5"/>
    <w:rsid w:val="62FE5AC6"/>
    <w:rsid w:val="63092CD9"/>
    <w:rsid w:val="63325CEE"/>
    <w:rsid w:val="635555EB"/>
    <w:rsid w:val="635D0A00"/>
    <w:rsid w:val="635D7216"/>
    <w:rsid w:val="636720D2"/>
    <w:rsid w:val="636E7708"/>
    <w:rsid w:val="63716BBE"/>
    <w:rsid w:val="63722410"/>
    <w:rsid w:val="63794C98"/>
    <w:rsid w:val="637F7CAA"/>
    <w:rsid w:val="63820932"/>
    <w:rsid w:val="638B7478"/>
    <w:rsid w:val="638C6540"/>
    <w:rsid w:val="638C6CFE"/>
    <w:rsid w:val="63944133"/>
    <w:rsid w:val="63B02A4F"/>
    <w:rsid w:val="63BD1825"/>
    <w:rsid w:val="63C54498"/>
    <w:rsid w:val="63C971F8"/>
    <w:rsid w:val="63E31839"/>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12DAE"/>
    <w:rsid w:val="646A695C"/>
    <w:rsid w:val="64735CFC"/>
    <w:rsid w:val="64807D52"/>
    <w:rsid w:val="64833E92"/>
    <w:rsid w:val="648B4737"/>
    <w:rsid w:val="648E77AA"/>
    <w:rsid w:val="64912129"/>
    <w:rsid w:val="64931551"/>
    <w:rsid w:val="649A7664"/>
    <w:rsid w:val="64AA03CD"/>
    <w:rsid w:val="64B11959"/>
    <w:rsid w:val="64C07750"/>
    <w:rsid w:val="64C8402C"/>
    <w:rsid w:val="64CD6B04"/>
    <w:rsid w:val="64D63EE7"/>
    <w:rsid w:val="64D833A6"/>
    <w:rsid w:val="64DC1655"/>
    <w:rsid w:val="64ED57E5"/>
    <w:rsid w:val="64F013C4"/>
    <w:rsid w:val="650136B1"/>
    <w:rsid w:val="65117ECA"/>
    <w:rsid w:val="65135D1F"/>
    <w:rsid w:val="65180EC0"/>
    <w:rsid w:val="6521305C"/>
    <w:rsid w:val="652173D3"/>
    <w:rsid w:val="6524182C"/>
    <w:rsid w:val="65317C28"/>
    <w:rsid w:val="65342637"/>
    <w:rsid w:val="6535383A"/>
    <w:rsid w:val="653E582F"/>
    <w:rsid w:val="655468E7"/>
    <w:rsid w:val="656F5997"/>
    <w:rsid w:val="65753498"/>
    <w:rsid w:val="657C1693"/>
    <w:rsid w:val="657D1CD5"/>
    <w:rsid w:val="65803DFB"/>
    <w:rsid w:val="65884515"/>
    <w:rsid w:val="658F53C8"/>
    <w:rsid w:val="659373C8"/>
    <w:rsid w:val="65995C0C"/>
    <w:rsid w:val="65A15764"/>
    <w:rsid w:val="65A22487"/>
    <w:rsid w:val="65B652C1"/>
    <w:rsid w:val="65D74DE3"/>
    <w:rsid w:val="65E9248D"/>
    <w:rsid w:val="65EF7DFF"/>
    <w:rsid w:val="66200813"/>
    <w:rsid w:val="662032A0"/>
    <w:rsid w:val="66322707"/>
    <w:rsid w:val="664A2B0B"/>
    <w:rsid w:val="665E5443"/>
    <w:rsid w:val="66645BD3"/>
    <w:rsid w:val="666752FC"/>
    <w:rsid w:val="666B6F56"/>
    <w:rsid w:val="66706620"/>
    <w:rsid w:val="667A0598"/>
    <w:rsid w:val="667A2800"/>
    <w:rsid w:val="66895C07"/>
    <w:rsid w:val="669022B7"/>
    <w:rsid w:val="66940A39"/>
    <w:rsid w:val="66AD2869"/>
    <w:rsid w:val="66B73366"/>
    <w:rsid w:val="66CA5E5F"/>
    <w:rsid w:val="66D20F43"/>
    <w:rsid w:val="66E710BA"/>
    <w:rsid w:val="66ED62BD"/>
    <w:rsid w:val="66F7489D"/>
    <w:rsid w:val="67164009"/>
    <w:rsid w:val="671A520A"/>
    <w:rsid w:val="671E2C0C"/>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57D8B"/>
    <w:rsid w:val="67CE4F0A"/>
    <w:rsid w:val="67CF06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7B4498"/>
    <w:rsid w:val="68884E74"/>
    <w:rsid w:val="68A24BC0"/>
    <w:rsid w:val="68BD4B3B"/>
    <w:rsid w:val="68CC25F1"/>
    <w:rsid w:val="68D03C42"/>
    <w:rsid w:val="68D42DB2"/>
    <w:rsid w:val="68D653D2"/>
    <w:rsid w:val="68DA7A04"/>
    <w:rsid w:val="68E7020B"/>
    <w:rsid w:val="68EE7BC7"/>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90603"/>
    <w:rsid w:val="696A37DB"/>
    <w:rsid w:val="69717BE4"/>
    <w:rsid w:val="6972432A"/>
    <w:rsid w:val="69797C2C"/>
    <w:rsid w:val="697B2AE1"/>
    <w:rsid w:val="698014F4"/>
    <w:rsid w:val="6984347B"/>
    <w:rsid w:val="69851B0E"/>
    <w:rsid w:val="69872D67"/>
    <w:rsid w:val="698C6721"/>
    <w:rsid w:val="69940630"/>
    <w:rsid w:val="699E3E5E"/>
    <w:rsid w:val="69AF6A95"/>
    <w:rsid w:val="69BB706B"/>
    <w:rsid w:val="69BD310B"/>
    <w:rsid w:val="69C24AC2"/>
    <w:rsid w:val="69C630CF"/>
    <w:rsid w:val="69C8779E"/>
    <w:rsid w:val="69CC350E"/>
    <w:rsid w:val="69CE20ED"/>
    <w:rsid w:val="69D05E78"/>
    <w:rsid w:val="69D807AC"/>
    <w:rsid w:val="69D90A84"/>
    <w:rsid w:val="69E1087F"/>
    <w:rsid w:val="6A0C4CCC"/>
    <w:rsid w:val="6A112FF4"/>
    <w:rsid w:val="6A130B08"/>
    <w:rsid w:val="6A1A072E"/>
    <w:rsid w:val="6A1D6053"/>
    <w:rsid w:val="6A1F08C8"/>
    <w:rsid w:val="6A2B356A"/>
    <w:rsid w:val="6A4F5866"/>
    <w:rsid w:val="6A521B33"/>
    <w:rsid w:val="6A556559"/>
    <w:rsid w:val="6A57578E"/>
    <w:rsid w:val="6A576216"/>
    <w:rsid w:val="6A5A6AB0"/>
    <w:rsid w:val="6A6825EC"/>
    <w:rsid w:val="6A6E653E"/>
    <w:rsid w:val="6A753D8D"/>
    <w:rsid w:val="6A776BFB"/>
    <w:rsid w:val="6A8D1B9C"/>
    <w:rsid w:val="6A90701E"/>
    <w:rsid w:val="6A9B3AED"/>
    <w:rsid w:val="6AAC51C2"/>
    <w:rsid w:val="6AAF7616"/>
    <w:rsid w:val="6ABC5B1C"/>
    <w:rsid w:val="6AD51FFB"/>
    <w:rsid w:val="6AD85434"/>
    <w:rsid w:val="6AD86D68"/>
    <w:rsid w:val="6ADA4924"/>
    <w:rsid w:val="6ADB0495"/>
    <w:rsid w:val="6AE15310"/>
    <w:rsid w:val="6AF27091"/>
    <w:rsid w:val="6AF533DC"/>
    <w:rsid w:val="6AF66F1E"/>
    <w:rsid w:val="6AF727C7"/>
    <w:rsid w:val="6AF92ED3"/>
    <w:rsid w:val="6AF97AAD"/>
    <w:rsid w:val="6AFC6391"/>
    <w:rsid w:val="6AFF7979"/>
    <w:rsid w:val="6B0049FC"/>
    <w:rsid w:val="6B062F9D"/>
    <w:rsid w:val="6B0A4E87"/>
    <w:rsid w:val="6B110489"/>
    <w:rsid w:val="6B124689"/>
    <w:rsid w:val="6B1472AB"/>
    <w:rsid w:val="6B1C7BC4"/>
    <w:rsid w:val="6B1F6C35"/>
    <w:rsid w:val="6B210B08"/>
    <w:rsid w:val="6B260B00"/>
    <w:rsid w:val="6B3D1977"/>
    <w:rsid w:val="6B3E1542"/>
    <w:rsid w:val="6B3F2B4F"/>
    <w:rsid w:val="6B407F5A"/>
    <w:rsid w:val="6B416A29"/>
    <w:rsid w:val="6B485BA5"/>
    <w:rsid w:val="6B5A41AF"/>
    <w:rsid w:val="6B671D29"/>
    <w:rsid w:val="6B6A7091"/>
    <w:rsid w:val="6B6B4D30"/>
    <w:rsid w:val="6B751185"/>
    <w:rsid w:val="6B8A477E"/>
    <w:rsid w:val="6B8F6298"/>
    <w:rsid w:val="6BA82C4B"/>
    <w:rsid w:val="6BB02DDF"/>
    <w:rsid w:val="6BD92C40"/>
    <w:rsid w:val="6BE839EF"/>
    <w:rsid w:val="6BED6077"/>
    <w:rsid w:val="6BEF3B00"/>
    <w:rsid w:val="6C082EAA"/>
    <w:rsid w:val="6C3016AA"/>
    <w:rsid w:val="6C415AEC"/>
    <w:rsid w:val="6C477A25"/>
    <w:rsid w:val="6C4911E3"/>
    <w:rsid w:val="6C4C4DA3"/>
    <w:rsid w:val="6C4D7CCE"/>
    <w:rsid w:val="6C5E4581"/>
    <w:rsid w:val="6C69339D"/>
    <w:rsid w:val="6C921172"/>
    <w:rsid w:val="6CA561EF"/>
    <w:rsid w:val="6CB8187C"/>
    <w:rsid w:val="6CBC7698"/>
    <w:rsid w:val="6CC43DCE"/>
    <w:rsid w:val="6CDA05DD"/>
    <w:rsid w:val="6CE95A33"/>
    <w:rsid w:val="6CF27CB7"/>
    <w:rsid w:val="6CFF4FC3"/>
    <w:rsid w:val="6D0114C2"/>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B56605"/>
    <w:rsid w:val="6DCB6A49"/>
    <w:rsid w:val="6DE63F0D"/>
    <w:rsid w:val="6DEB24F1"/>
    <w:rsid w:val="6E0C22A1"/>
    <w:rsid w:val="6E11324D"/>
    <w:rsid w:val="6E1E3A1A"/>
    <w:rsid w:val="6E334511"/>
    <w:rsid w:val="6E3433E7"/>
    <w:rsid w:val="6E361F05"/>
    <w:rsid w:val="6E363CDF"/>
    <w:rsid w:val="6E3F7264"/>
    <w:rsid w:val="6E527A2D"/>
    <w:rsid w:val="6E7B5445"/>
    <w:rsid w:val="6E847F11"/>
    <w:rsid w:val="6E9C2F06"/>
    <w:rsid w:val="6E9F30D8"/>
    <w:rsid w:val="6EA0144C"/>
    <w:rsid w:val="6EA63A37"/>
    <w:rsid w:val="6EB45479"/>
    <w:rsid w:val="6EB723FB"/>
    <w:rsid w:val="6EBC6600"/>
    <w:rsid w:val="6EC2611C"/>
    <w:rsid w:val="6EC27B7D"/>
    <w:rsid w:val="6EC5561E"/>
    <w:rsid w:val="6EC64ABF"/>
    <w:rsid w:val="6EC921FA"/>
    <w:rsid w:val="6ECA5A5F"/>
    <w:rsid w:val="6EDF1E6E"/>
    <w:rsid w:val="6EF20002"/>
    <w:rsid w:val="6EFC3550"/>
    <w:rsid w:val="6F043F0B"/>
    <w:rsid w:val="6F060A34"/>
    <w:rsid w:val="6F12785F"/>
    <w:rsid w:val="6F2171D7"/>
    <w:rsid w:val="6F380B8F"/>
    <w:rsid w:val="6F3C40E8"/>
    <w:rsid w:val="6F3D66A3"/>
    <w:rsid w:val="6F3F7521"/>
    <w:rsid w:val="6F451AAA"/>
    <w:rsid w:val="6F4C6F5D"/>
    <w:rsid w:val="6F507371"/>
    <w:rsid w:val="6F584596"/>
    <w:rsid w:val="6F67263E"/>
    <w:rsid w:val="6F734DEA"/>
    <w:rsid w:val="6F73557A"/>
    <w:rsid w:val="6F886E71"/>
    <w:rsid w:val="6F9C068A"/>
    <w:rsid w:val="6FAD7943"/>
    <w:rsid w:val="6FBE5CCB"/>
    <w:rsid w:val="6FC13350"/>
    <w:rsid w:val="6FC323D9"/>
    <w:rsid w:val="6FC86550"/>
    <w:rsid w:val="6FD226C3"/>
    <w:rsid w:val="6FD638B1"/>
    <w:rsid w:val="6FD77CB6"/>
    <w:rsid w:val="6FE46241"/>
    <w:rsid w:val="6FEF4CBF"/>
    <w:rsid w:val="6FF03265"/>
    <w:rsid w:val="6FF27EB0"/>
    <w:rsid w:val="6FF67217"/>
    <w:rsid w:val="70111D80"/>
    <w:rsid w:val="7013451F"/>
    <w:rsid w:val="70150303"/>
    <w:rsid w:val="702005DC"/>
    <w:rsid w:val="70433623"/>
    <w:rsid w:val="704D0C8F"/>
    <w:rsid w:val="7083502F"/>
    <w:rsid w:val="70853BCC"/>
    <w:rsid w:val="70A23903"/>
    <w:rsid w:val="70A95F00"/>
    <w:rsid w:val="70B4157B"/>
    <w:rsid w:val="70D3493E"/>
    <w:rsid w:val="70D76741"/>
    <w:rsid w:val="70E00AE5"/>
    <w:rsid w:val="710A3270"/>
    <w:rsid w:val="710F45F3"/>
    <w:rsid w:val="71163F3D"/>
    <w:rsid w:val="711819F0"/>
    <w:rsid w:val="712664A2"/>
    <w:rsid w:val="712913E3"/>
    <w:rsid w:val="71306252"/>
    <w:rsid w:val="71364608"/>
    <w:rsid w:val="713C7C54"/>
    <w:rsid w:val="716621C1"/>
    <w:rsid w:val="717065C7"/>
    <w:rsid w:val="71A167E4"/>
    <w:rsid w:val="71A53C39"/>
    <w:rsid w:val="71AB5F8A"/>
    <w:rsid w:val="71B04DD0"/>
    <w:rsid w:val="71B07710"/>
    <w:rsid w:val="71B24E95"/>
    <w:rsid w:val="71C5773E"/>
    <w:rsid w:val="71D8471D"/>
    <w:rsid w:val="71DF00AD"/>
    <w:rsid w:val="71E41E32"/>
    <w:rsid w:val="71E44BF0"/>
    <w:rsid w:val="71F55E85"/>
    <w:rsid w:val="71FC4C7C"/>
    <w:rsid w:val="72251DA4"/>
    <w:rsid w:val="72414E2B"/>
    <w:rsid w:val="724D094B"/>
    <w:rsid w:val="724E0ACF"/>
    <w:rsid w:val="725F393D"/>
    <w:rsid w:val="72712929"/>
    <w:rsid w:val="72735155"/>
    <w:rsid w:val="7274287C"/>
    <w:rsid w:val="728114C6"/>
    <w:rsid w:val="7288016D"/>
    <w:rsid w:val="729446A5"/>
    <w:rsid w:val="7299672C"/>
    <w:rsid w:val="729B764A"/>
    <w:rsid w:val="729E44D2"/>
    <w:rsid w:val="72A12305"/>
    <w:rsid w:val="72B375F5"/>
    <w:rsid w:val="72B42071"/>
    <w:rsid w:val="72C740ED"/>
    <w:rsid w:val="72DA5AFC"/>
    <w:rsid w:val="72E571DE"/>
    <w:rsid w:val="72E673CF"/>
    <w:rsid w:val="72EB533D"/>
    <w:rsid w:val="730B0B61"/>
    <w:rsid w:val="731B3421"/>
    <w:rsid w:val="7323171B"/>
    <w:rsid w:val="732A411A"/>
    <w:rsid w:val="733F4EDD"/>
    <w:rsid w:val="735E1484"/>
    <w:rsid w:val="735E214A"/>
    <w:rsid w:val="736D44EF"/>
    <w:rsid w:val="73780E63"/>
    <w:rsid w:val="739B3131"/>
    <w:rsid w:val="73AB4006"/>
    <w:rsid w:val="73B35A75"/>
    <w:rsid w:val="73B91DA2"/>
    <w:rsid w:val="73C66FFC"/>
    <w:rsid w:val="73C97E9E"/>
    <w:rsid w:val="73D35621"/>
    <w:rsid w:val="73D40DA2"/>
    <w:rsid w:val="73DD1180"/>
    <w:rsid w:val="73E42EF7"/>
    <w:rsid w:val="73E93129"/>
    <w:rsid w:val="73FB1416"/>
    <w:rsid w:val="74153572"/>
    <w:rsid w:val="741D25EF"/>
    <w:rsid w:val="741E5F67"/>
    <w:rsid w:val="74390C11"/>
    <w:rsid w:val="74422B4B"/>
    <w:rsid w:val="744300E1"/>
    <w:rsid w:val="74465350"/>
    <w:rsid w:val="746B647F"/>
    <w:rsid w:val="7489283A"/>
    <w:rsid w:val="749262B3"/>
    <w:rsid w:val="749542C6"/>
    <w:rsid w:val="74973215"/>
    <w:rsid w:val="74A6039C"/>
    <w:rsid w:val="74AD4EDF"/>
    <w:rsid w:val="74B53285"/>
    <w:rsid w:val="74B746E8"/>
    <w:rsid w:val="74C3296B"/>
    <w:rsid w:val="74C971DE"/>
    <w:rsid w:val="74CE2F83"/>
    <w:rsid w:val="74D67798"/>
    <w:rsid w:val="74D87365"/>
    <w:rsid w:val="74DF4168"/>
    <w:rsid w:val="74E53B86"/>
    <w:rsid w:val="75111A9D"/>
    <w:rsid w:val="752650AE"/>
    <w:rsid w:val="752D306B"/>
    <w:rsid w:val="752F19FD"/>
    <w:rsid w:val="753022BE"/>
    <w:rsid w:val="75311E23"/>
    <w:rsid w:val="754F3919"/>
    <w:rsid w:val="75530645"/>
    <w:rsid w:val="755631A4"/>
    <w:rsid w:val="755F2C4C"/>
    <w:rsid w:val="75732383"/>
    <w:rsid w:val="7594489B"/>
    <w:rsid w:val="7595501B"/>
    <w:rsid w:val="7596405D"/>
    <w:rsid w:val="759F5E08"/>
    <w:rsid w:val="75BB3488"/>
    <w:rsid w:val="75BE4BC3"/>
    <w:rsid w:val="75DF5DB2"/>
    <w:rsid w:val="760E5232"/>
    <w:rsid w:val="762A38F1"/>
    <w:rsid w:val="762B622C"/>
    <w:rsid w:val="762E5891"/>
    <w:rsid w:val="763E0596"/>
    <w:rsid w:val="763F7318"/>
    <w:rsid w:val="764219A2"/>
    <w:rsid w:val="76466B26"/>
    <w:rsid w:val="765B57AA"/>
    <w:rsid w:val="766E595B"/>
    <w:rsid w:val="767479C3"/>
    <w:rsid w:val="76824D53"/>
    <w:rsid w:val="7688580C"/>
    <w:rsid w:val="769A5387"/>
    <w:rsid w:val="769D6C1D"/>
    <w:rsid w:val="76A4234D"/>
    <w:rsid w:val="76A67DFC"/>
    <w:rsid w:val="76AB3135"/>
    <w:rsid w:val="76B11ED8"/>
    <w:rsid w:val="76B45F6C"/>
    <w:rsid w:val="76BD5918"/>
    <w:rsid w:val="76C160CF"/>
    <w:rsid w:val="76C719EA"/>
    <w:rsid w:val="76CB0D2D"/>
    <w:rsid w:val="76CC04C9"/>
    <w:rsid w:val="76D60435"/>
    <w:rsid w:val="76D631D8"/>
    <w:rsid w:val="76D83137"/>
    <w:rsid w:val="76E00FAD"/>
    <w:rsid w:val="76EC646B"/>
    <w:rsid w:val="76F03175"/>
    <w:rsid w:val="76F6105F"/>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27428"/>
    <w:rsid w:val="779317E6"/>
    <w:rsid w:val="77997A56"/>
    <w:rsid w:val="779D7593"/>
    <w:rsid w:val="779D792C"/>
    <w:rsid w:val="77AB7559"/>
    <w:rsid w:val="77B827FD"/>
    <w:rsid w:val="77C11145"/>
    <w:rsid w:val="77C80872"/>
    <w:rsid w:val="77D02423"/>
    <w:rsid w:val="77D65936"/>
    <w:rsid w:val="77DC06F1"/>
    <w:rsid w:val="77E17736"/>
    <w:rsid w:val="77E61546"/>
    <w:rsid w:val="77EC18CC"/>
    <w:rsid w:val="77FC6C1C"/>
    <w:rsid w:val="77FD22D0"/>
    <w:rsid w:val="7803766C"/>
    <w:rsid w:val="78167293"/>
    <w:rsid w:val="781D2B81"/>
    <w:rsid w:val="782A3B8B"/>
    <w:rsid w:val="782A644C"/>
    <w:rsid w:val="78373844"/>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9069E"/>
    <w:rsid w:val="78AA2DEE"/>
    <w:rsid w:val="78AF7669"/>
    <w:rsid w:val="78BA3A04"/>
    <w:rsid w:val="78D15EAD"/>
    <w:rsid w:val="78D528CE"/>
    <w:rsid w:val="78DC52BB"/>
    <w:rsid w:val="78E27528"/>
    <w:rsid w:val="78FE6C12"/>
    <w:rsid w:val="78FE6E8B"/>
    <w:rsid w:val="78FF53D1"/>
    <w:rsid w:val="79004FC6"/>
    <w:rsid w:val="7905098A"/>
    <w:rsid w:val="79063451"/>
    <w:rsid w:val="790F2375"/>
    <w:rsid w:val="791214E9"/>
    <w:rsid w:val="7914208C"/>
    <w:rsid w:val="793E70B5"/>
    <w:rsid w:val="794247C9"/>
    <w:rsid w:val="795014B6"/>
    <w:rsid w:val="795E2273"/>
    <w:rsid w:val="797E288F"/>
    <w:rsid w:val="798B58B7"/>
    <w:rsid w:val="79B561F9"/>
    <w:rsid w:val="79BB2056"/>
    <w:rsid w:val="79C178A4"/>
    <w:rsid w:val="79C87ACE"/>
    <w:rsid w:val="79CA5589"/>
    <w:rsid w:val="79CA72B2"/>
    <w:rsid w:val="79CB01E3"/>
    <w:rsid w:val="79DC07CB"/>
    <w:rsid w:val="79E24A71"/>
    <w:rsid w:val="79F46361"/>
    <w:rsid w:val="79F729CB"/>
    <w:rsid w:val="79FE0717"/>
    <w:rsid w:val="7A0927B5"/>
    <w:rsid w:val="7A0F072E"/>
    <w:rsid w:val="7A340D66"/>
    <w:rsid w:val="7A362CD0"/>
    <w:rsid w:val="7A420E6D"/>
    <w:rsid w:val="7A4D596D"/>
    <w:rsid w:val="7A5433E7"/>
    <w:rsid w:val="7A550F52"/>
    <w:rsid w:val="7A5A154D"/>
    <w:rsid w:val="7A5D4ECA"/>
    <w:rsid w:val="7A5E019B"/>
    <w:rsid w:val="7A632889"/>
    <w:rsid w:val="7A6D214B"/>
    <w:rsid w:val="7A6D51AF"/>
    <w:rsid w:val="7A6E065F"/>
    <w:rsid w:val="7A815634"/>
    <w:rsid w:val="7A9642E8"/>
    <w:rsid w:val="7A9959EE"/>
    <w:rsid w:val="7A996458"/>
    <w:rsid w:val="7AAE5B35"/>
    <w:rsid w:val="7AC42EFD"/>
    <w:rsid w:val="7ACF293B"/>
    <w:rsid w:val="7ACF5FBB"/>
    <w:rsid w:val="7AD51A8A"/>
    <w:rsid w:val="7AF3075E"/>
    <w:rsid w:val="7AF76867"/>
    <w:rsid w:val="7B1903CB"/>
    <w:rsid w:val="7B223A05"/>
    <w:rsid w:val="7B2C1EB5"/>
    <w:rsid w:val="7B375F8B"/>
    <w:rsid w:val="7B544B73"/>
    <w:rsid w:val="7B550266"/>
    <w:rsid w:val="7B552736"/>
    <w:rsid w:val="7B726262"/>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21F2A"/>
    <w:rsid w:val="7BF553C8"/>
    <w:rsid w:val="7BF84150"/>
    <w:rsid w:val="7BFD524D"/>
    <w:rsid w:val="7C1643B1"/>
    <w:rsid w:val="7C183004"/>
    <w:rsid w:val="7C191659"/>
    <w:rsid w:val="7C1954A8"/>
    <w:rsid w:val="7C201BE6"/>
    <w:rsid w:val="7C23517E"/>
    <w:rsid w:val="7C2864C4"/>
    <w:rsid w:val="7C28763F"/>
    <w:rsid w:val="7C2D1703"/>
    <w:rsid w:val="7C4160EA"/>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529A1"/>
    <w:rsid w:val="7CEB2B5C"/>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6420B"/>
    <w:rsid w:val="7D774369"/>
    <w:rsid w:val="7D78314B"/>
    <w:rsid w:val="7D7E3F49"/>
    <w:rsid w:val="7D7F00E6"/>
    <w:rsid w:val="7D81417D"/>
    <w:rsid w:val="7D8B6C86"/>
    <w:rsid w:val="7D992132"/>
    <w:rsid w:val="7DA245E9"/>
    <w:rsid w:val="7DA44162"/>
    <w:rsid w:val="7DA92CC8"/>
    <w:rsid w:val="7DB34368"/>
    <w:rsid w:val="7DB43407"/>
    <w:rsid w:val="7DB54C08"/>
    <w:rsid w:val="7DC71958"/>
    <w:rsid w:val="7DD662D0"/>
    <w:rsid w:val="7DDC39A2"/>
    <w:rsid w:val="7DDF5BB8"/>
    <w:rsid w:val="7DE238F2"/>
    <w:rsid w:val="7DF756EA"/>
    <w:rsid w:val="7DF762D2"/>
    <w:rsid w:val="7E03513B"/>
    <w:rsid w:val="7E145B78"/>
    <w:rsid w:val="7E1625A8"/>
    <w:rsid w:val="7E1E5DFA"/>
    <w:rsid w:val="7E282F37"/>
    <w:rsid w:val="7E45572A"/>
    <w:rsid w:val="7E4F3EE6"/>
    <w:rsid w:val="7E525688"/>
    <w:rsid w:val="7E5358A2"/>
    <w:rsid w:val="7E57165F"/>
    <w:rsid w:val="7E5C5F01"/>
    <w:rsid w:val="7E607C6A"/>
    <w:rsid w:val="7E811934"/>
    <w:rsid w:val="7E8F6B16"/>
    <w:rsid w:val="7E993F90"/>
    <w:rsid w:val="7EA10B42"/>
    <w:rsid w:val="7EA617D8"/>
    <w:rsid w:val="7EA83C1A"/>
    <w:rsid w:val="7EA96A04"/>
    <w:rsid w:val="7EAA4D43"/>
    <w:rsid w:val="7EB84C85"/>
    <w:rsid w:val="7ECA7D82"/>
    <w:rsid w:val="7EDB409D"/>
    <w:rsid w:val="7EDD2BB7"/>
    <w:rsid w:val="7EF24838"/>
    <w:rsid w:val="7EFA6953"/>
    <w:rsid w:val="7EFD157F"/>
    <w:rsid w:val="7F007023"/>
    <w:rsid w:val="7F057208"/>
    <w:rsid w:val="7F060840"/>
    <w:rsid w:val="7F0770CE"/>
    <w:rsid w:val="7F084B75"/>
    <w:rsid w:val="7F0B4497"/>
    <w:rsid w:val="7F0F1E8C"/>
    <w:rsid w:val="7F1262E1"/>
    <w:rsid w:val="7F1E4DF1"/>
    <w:rsid w:val="7F224903"/>
    <w:rsid w:val="7F230D06"/>
    <w:rsid w:val="7F3367F6"/>
    <w:rsid w:val="7F405636"/>
    <w:rsid w:val="7F560F95"/>
    <w:rsid w:val="7F737A53"/>
    <w:rsid w:val="7F8339FD"/>
    <w:rsid w:val="7F974ED5"/>
    <w:rsid w:val="7FA15F27"/>
    <w:rsid w:val="7FB25973"/>
    <w:rsid w:val="7FCE1A7C"/>
    <w:rsid w:val="7FF329BA"/>
    <w:rsid w:val="7FF5744B"/>
    <w:rsid w:val="7FFB0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38"/>
    <w:link w:val="113"/>
    <w:qFormat/>
    <w:uiPriority w:val="99"/>
    <w:pPr>
      <w:tabs>
        <w:tab w:val="center" w:pos="4153"/>
        <w:tab w:val="right" w:pos="8306"/>
      </w:tabs>
      <w:jc w:val="left"/>
    </w:p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Balloon Text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8"/>
    <w:link w:val="23"/>
    <w:qFormat/>
    <w:uiPriority w:val="0"/>
    <w:rPr>
      <w:rFonts w:ascii="宋体"/>
      <w:kern w:val="2"/>
      <w:sz w:val="18"/>
      <w:szCs w:val="18"/>
    </w:rPr>
  </w:style>
  <w:style w:type="character" w:customStyle="1" w:styleId="70">
    <w:name w:val="Heading 1 Char"/>
    <w:basedOn w:val="58"/>
    <w:link w:val="2"/>
    <w:qFormat/>
    <w:uiPriority w:val="0"/>
    <w:rPr>
      <w:b/>
      <w:bCs/>
      <w:kern w:val="44"/>
      <w:sz w:val="44"/>
      <w:szCs w:val="44"/>
    </w:rPr>
  </w:style>
  <w:style w:type="character" w:customStyle="1" w:styleId="71">
    <w:name w:val="Heading 2 Char"/>
    <w:basedOn w:val="58"/>
    <w:link w:val="3"/>
    <w:qFormat/>
    <w:uiPriority w:val="0"/>
    <w:rPr>
      <w:rFonts w:ascii="Arial" w:hAnsi="Arial" w:eastAsia="MS Mincho"/>
      <w:sz w:val="32"/>
      <w:szCs w:val="32"/>
      <w:lang w:val="en-GB"/>
    </w:rPr>
  </w:style>
  <w:style w:type="character" w:customStyle="1" w:styleId="72">
    <w:name w:val="Heading 3 Char"/>
    <w:basedOn w:val="58"/>
    <w:link w:val="4"/>
    <w:qFormat/>
    <w:uiPriority w:val="0"/>
    <w:rPr>
      <w:b/>
      <w:bCs/>
      <w:kern w:val="2"/>
      <w:sz w:val="32"/>
      <w:szCs w:val="32"/>
    </w:rPr>
  </w:style>
  <w:style w:type="character" w:customStyle="1" w:styleId="73">
    <w:name w:val="Heading 4 Char"/>
    <w:basedOn w:val="58"/>
    <w:link w:val="5"/>
    <w:qFormat/>
    <w:uiPriority w:val="0"/>
    <w:rPr>
      <w:rFonts w:ascii="Arial" w:hAnsi="Arial" w:eastAsia="黑体"/>
      <w:b/>
      <w:kern w:val="2"/>
      <w:sz w:val="28"/>
      <w:szCs w:val="24"/>
    </w:rPr>
  </w:style>
  <w:style w:type="character" w:customStyle="1" w:styleId="74">
    <w:name w:val="Heading 5 Char"/>
    <w:basedOn w:val="58"/>
    <w:link w:val="6"/>
    <w:qFormat/>
    <w:uiPriority w:val="0"/>
    <w:rPr>
      <w:b/>
      <w:kern w:val="2"/>
      <w:sz w:val="28"/>
      <w:szCs w:val="24"/>
    </w:rPr>
  </w:style>
  <w:style w:type="character" w:customStyle="1" w:styleId="75">
    <w:name w:val="Heading 6 Char"/>
    <w:basedOn w:val="58"/>
    <w:link w:val="7"/>
    <w:qFormat/>
    <w:uiPriority w:val="0"/>
    <w:rPr>
      <w:rFonts w:ascii="Arial" w:hAnsi="Arial" w:eastAsia="黑体"/>
      <w:b/>
      <w:kern w:val="2"/>
      <w:sz w:val="24"/>
      <w:szCs w:val="24"/>
    </w:rPr>
  </w:style>
  <w:style w:type="character" w:customStyle="1" w:styleId="76">
    <w:name w:val="Heading 7 Char"/>
    <w:basedOn w:val="58"/>
    <w:link w:val="8"/>
    <w:qFormat/>
    <w:uiPriority w:val="0"/>
    <w:rPr>
      <w:b/>
      <w:kern w:val="2"/>
      <w:sz w:val="24"/>
      <w:szCs w:val="24"/>
    </w:rPr>
  </w:style>
  <w:style w:type="character" w:customStyle="1" w:styleId="77">
    <w:name w:val="Heading 8 Char"/>
    <w:basedOn w:val="58"/>
    <w:link w:val="9"/>
    <w:qFormat/>
    <w:uiPriority w:val="0"/>
    <w:rPr>
      <w:rFonts w:ascii="Arial" w:hAnsi="Arial" w:eastAsia="黑体"/>
      <w:kern w:val="2"/>
      <w:sz w:val="24"/>
      <w:szCs w:val="24"/>
    </w:rPr>
  </w:style>
  <w:style w:type="character" w:customStyle="1" w:styleId="78">
    <w:name w:val="Heading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Comment Subject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Plain Text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Footnote Text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4.emf"/><Relationship Id="rId13" Type="http://schemas.openxmlformats.org/officeDocument/2006/relationships/package" Target="embeddings/Microsoft_Visio___4.vsdx"/><Relationship Id="rId12" Type="http://schemas.openxmlformats.org/officeDocument/2006/relationships/image" Target="media/image3.emf"/><Relationship Id="rId11" Type="http://schemas.openxmlformats.org/officeDocument/2006/relationships/package" Target="embeddings/Microsoft_Visio___3.vsdx"/><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E26CC-7D4C-4B76-9851-638844E22E2A}">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7</Pages>
  <Words>1877</Words>
  <Characters>10700</Characters>
  <Lines>89</Lines>
  <Paragraphs>25</Paragraphs>
  <TotalTime>5</TotalTime>
  <ScaleCrop>false</ScaleCrop>
  <LinksUpToDate>false</LinksUpToDate>
  <CharactersWithSpaces>12552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2019-01-23T12:56:00Z</dcterms:created>
  <dc:creator>10033860</dc:creator>
  <cp:lastModifiedBy>ZTE(Yuan)</cp:lastModifiedBy>
  <cp:lastPrinted>2113-01-01T00:00:00Z</cp:lastPrinted>
  <dcterms:modified xsi:type="dcterms:W3CDTF">2021-01-14T13:47:38Z</dcterms:modified>
  <cp:revision>154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